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08" w:rsidRPr="00E7365F" w:rsidRDefault="00B75108" w:rsidP="00B7510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7365F">
        <w:rPr>
          <w:rFonts w:ascii="Times New Roman" w:hAnsi="Times New Roman" w:cs="Times New Roman"/>
          <w:b/>
          <w:sz w:val="24"/>
          <w:szCs w:val="24"/>
          <w:lang w:val="id-ID"/>
        </w:rPr>
        <w:t>BAB I</w:t>
      </w:r>
      <w:bookmarkStart w:id="0" w:name="_GoBack"/>
      <w:bookmarkEnd w:id="0"/>
    </w:p>
    <w:p w:rsidR="00B75108" w:rsidRPr="00E7365F" w:rsidRDefault="00B75108" w:rsidP="00B7510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7365F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</w:p>
    <w:p w:rsidR="00B75108" w:rsidRPr="0031175B" w:rsidRDefault="00B75108" w:rsidP="00B75108">
      <w:pPr>
        <w:pStyle w:val="ListParagraph"/>
        <w:numPr>
          <w:ilvl w:val="0"/>
          <w:numId w:val="7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1175B">
        <w:rPr>
          <w:rFonts w:ascii="Times New Roman" w:hAnsi="Times New Roman" w:cs="Times New Roman"/>
          <w:b/>
          <w:sz w:val="24"/>
          <w:szCs w:val="24"/>
          <w:lang w:val="id-ID"/>
        </w:rPr>
        <w:t>Latar Belakang Masalah</w:t>
      </w:r>
    </w:p>
    <w:p w:rsidR="00B75108" w:rsidRPr="00034529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puncak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klimaks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perkara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sedang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diperiksa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diadili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seorang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hakim. Hakim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keputusannya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hal-hal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1"/>
      </w:r>
    </w:p>
    <w:p w:rsidR="00B75108" w:rsidRPr="00034529" w:rsidRDefault="00B75108" w:rsidP="00B75108">
      <w:pPr>
        <w:pStyle w:val="ListParagraph"/>
        <w:numPr>
          <w:ilvl w:val="1"/>
          <w:numId w:val="8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Keputusan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peristiwanya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terdakwa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perbuatan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dituduhkan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kepadanya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Pr="00034529" w:rsidRDefault="00B75108" w:rsidP="00B75108">
      <w:pPr>
        <w:pStyle w:val="ListParagraph"/>
        <w:numPr>
          <w:ilvl w:val="0"/>
          <w:numId w:val="8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Keputusan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hukumnya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perbuatan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terdakwa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tindak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terdakwa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bersalah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dipidana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Pr="00034529" w:rsidRDefault="00B75108" w:rsidP="00B75108">
      <w:pPr>
        <w:pStyle w:val="ListParagraph"/>
        <w:numPr>
          <w:ilvl w:val="0"/>
          <w:numId w:val="8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Keputusan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pidananya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apabila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terdakwa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memang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dipidana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Peraturan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perundang-undangan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Nomor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48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2009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Kekuasaan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Kehakiman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8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Ayat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(1) </w:t>
      </w:r>
      <w:proofErr w:type="spellStart"/>
      <w:proofErr w:type="gram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menyebutkan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</w:t>
      </w:r>
      <w:proofErr w:type="gram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“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yang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disangka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ditangkap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ditahan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dituntut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dihadapkan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muka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sidang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pengadilan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wajib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dianggap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bersalah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pengadilan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menyatakan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kesalahannya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memperoleh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kekuatan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tetap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”.</w:t>
      </w:r>
    </w:p>
    <w:p w:rsidR="00B75108" w:rsidRPr="003354B6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sectPr w:rsidR="00B75108" w:rsidRPr="003354B6" w:rsidSect="003354B6">
          <w:headerReference w:type="default" r:id="rId7"/>
          <w:footerReference w:type="default" r:id="rId8"/>
          <w:pgSz w:w="11906" w:h="16838"/>
          <w:pgMar w:top="2268" w:right="1701" w:bottom="1701" w:left="2268" w:header="737" w:footer="708" w:gutter="0"/>
          <w:pgNumType w:start="1"/>
          <w:cols w:space="708"/>
          <w:docGrid w:linePitch="360"/>
        </w:sectPr>
      </w:pPr>
    </w:p>
    <w:p w:rsidR="00B75108" w:rsidRPr="00B7178C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Pasal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butir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11 KUHAP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menyebutkan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pengadilan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pernyataan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yang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diucapkan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sidang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pengadilan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terbuka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yang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berupa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pemidanaan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bebas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lepas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segala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tuntutan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hal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cara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diatur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Undang-Undang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03452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Pr="00752711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Semua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pengadilan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hanya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sah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mempunyai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kekuatan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diucapkan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dimuka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sidang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terbuka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umum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Syaratsah</w:t>
      </w:r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nya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mencakup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dua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hal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memuat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hal-hal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diwajibkan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diucapkan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sidang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terbuka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umum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Hal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dipenuhi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proses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pengambilan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keputusan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pemidanaan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diatur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Pasal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193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ayat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 KUHAP yang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menentukan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“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pengadilan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berpendapat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terdakwa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bersalah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tindak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didakwakan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kepadanya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pengadilan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menjatuhkan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Seorang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haruslah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memihak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siapapun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juga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persidangan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semuanya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diperlakukan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sama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Pasal 1 </w:t>
      </w:r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ndang-</w:t>
      </w:r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ndang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Nomor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48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2009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Kekuasaan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Kehakiman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ditegaskan bahwa</w:t>
      </w:r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tugas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mengadili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perkara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berdimensi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menegakkan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keadilan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menegakkan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Hakim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melaksanakan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tugasnya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bebas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boleh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terpengaruh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memihak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siapapun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Jaminan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kebebasan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juga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diatur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berbagai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peraturan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Pasal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24 UUD Negara RI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1945, yang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merdeka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menyelenggarakan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peradilan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guna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menegakkan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keadilan</w:t>
      </w:r>
      <w:proofErr w:type="spellEnd"/>
      <w:r w:rsidRPr="0034188C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Pr="006D6F2A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Segala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keputusan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pengadilan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memuat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pasal-pasal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tertentu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peraturan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bersangkutan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sumber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tertulis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dijadikan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dasar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menggali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kaedah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hidup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berkembang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didalam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Putus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pengadilan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tanggung</w:t>
      </w:r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jawab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melaksanakan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tugasnya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memeriksa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memutus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perkara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diajukan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kepadanya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dimana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pertanggungjawaban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hanya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dijatuhkan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dirinya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ataupun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luas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penting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lagi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dipertanggungjawabkan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Tuhan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Maha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Esa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Pr="006D6F2A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Proses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tahapan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penjatuhan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hakim,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perkara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Moeljatno</w:t>
      </w:r>
      <w:proofErr w:type="spellEnd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638DF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2"/>
      </w:r>
    </w:p>
    <w:p w:rsidR="00B75108" w:rsidRPr="00153E58" w:rsidRDefault="00B75108" w:rsidP="00B75108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enganalisis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erbuatan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idana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menganalisis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terdakwa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perbuatan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yang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dipandang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primer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segi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perbuatan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rumusan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aturan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Pr="00153E58" w:rsidRDefault="00B75108" w:rsidP="00B75108">
      <w:pPr>
        <w:spacing w:after="0" w:line="480" w:lineRule="auto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enganalisis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anggungjawab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idana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j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ika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seorang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terdakwa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dinyatakan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terbukti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perbuatan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melanggar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pasal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tertentu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hakim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menganalisis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terdak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bertanggung</w:t>
      </w:r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jawab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perbuatan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dilakukannya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Default="00B75108" w:rsidP="00B75108">
      <w:pPr>
        <w:spacing w:after="0" w:line="480" w:lineRule="auto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enentuan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emidanaan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h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akim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menjatuhkan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pidana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bila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unsur-unsur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terpenuhi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asal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Undang-Undang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dilanggar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Pelaku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dijatuhkannya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pida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erdakwa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Default="00B75108" w:rsidP="00B75108">
      <w:pPr>
        <w:spacing w:after="0" w:line="48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B75108" w:rsidRPr="00C0608B" w:rsidRDefault="00B75108" w:rsidP="00B75108">
      <w:pPr>
        <w:spacing w:after="0" w:line="48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B75108" w:rsidRPr="00153E58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Menurut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Pasal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184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ayat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(1) KUHAP, Hakim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menjatuhkan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persidangan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melihat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alat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bukti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sah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proofErr w:type="gramStart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153E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</w:t>
      </w:r>
      <w:proofErr w:type="gramEnd"/>
    </w:p>
    <w:p w:rsidR="00B75108" w:rsidRPr="007540B6" w:rsidRDefault="00B75108" w:rsidP="00B75108">
      <w:pPr>
        <w:pStyle w:val="ListParagraph"/>
        <w:numPr>
          <w:ilvl w:val="0"/>
          <w:numId w:val="5"/>
        </w:numPr>
        <w:spacing w:after="0" w:line="480" w:lineRule="auto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>Surat</w:t>
      </w:r>
    </w:p>
    <w:p w:rsidR="00B75108" w:rsidRPr="007540B6" w:rsidRDefault="00B75108" w:rsidP="00B75108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>Petunjuk</w:t>
      </w:r>
      <w:proofErr w:type="spellEnd"/>
    </w:p>
    <w:p w:rsidR="00B75108" w:rsidRPr="007540B6" w:rsidRDefault="00B75108" w:rsidP="00B75108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>Keterangan</w:t>
      </w:r>
      <w:proofErr w:type="spellEnd"/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>terdakwa</w:t>
      </w:r>
      <w:proofErr w:type="spellEnd"/>
    </w:p>
    <w:p w:rsidR="00B75108" w:rsidRPr="007540B6" w:rsidRDefault="00B75108" w:rsidP="00B75108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>Keterangan</w:t>
      </w:r>
      <w:proofErr w:type="spellEnd"/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>Saksi</w:t>
      </w:r>
      <w:proofErr w:type="spellEnd"/>
    </w:p>
    <w:p w:rsidR="00B75108" w:rsidRPr="007540B6" w:rsidRDefault="00B75108" w:rsidP="00B75108">
      <w:pPr>
        <w:pStyle w:val="ListParagraph"/>
        <w:numPr>
          <w:ilvl w:val="0"/>
          <w:numId w:val="5"/>
        </w:numPr>
        <w:spacing w:after="0" w:line="480" w:lineRule="auto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>Keterangan</w:t>
      </w:r>
      <w:proofErr w:type="spellEnd"/>
      <w:r w:rsidRPr="007540B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Ahli</w:t>
      </w:r>
    </w:p>
    <w:p w:rsidR="00B75108" w:rsidRPr="000955EA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Hakim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menjatuhkan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mempertimbangkan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hal-hal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</w:t>
      </w:r>
      <w:proofErr w:type="gramEnd"/>
    </w:p>
    <w:p w:rsidR="00B75108" w:rsidRPr="000955EA" w:rsidRDefault="00B75108" w:rsidP="00B75108">
      <w:pPr>
        <w:pStyle w:val="ListParagraph"/>
        <w:numPr>
          <w:ilvl w:val="1"/>
          <w:numId w:val="6"/>
        </w:numPr>
        <w:spacing w:after="0"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Yuridis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Undang-Undang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Teori-teori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berkaitan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perkara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75108" w:rsidRPr="000955EA" w:rsidRDefault="00B75108" w:rsidP="00B75108">
      <w:pPr>
        <w:pStyle w:val="ListParagraph"/>
        <w:numPr>
          <w:ilvl w:val="1"/>
          <w:numId w:val="6"/>
        </w:numPr>
        <w:spacing w:after="0" w:line="48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Non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Yuridis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melihat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lingkungan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hati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nurani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955EA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</w:p>
    <w:p w:rsidR="00B75108" w:rsidRPr="00C6407B" w:rsidRDefault="00B75108" w:rsidP="00B751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Penyalangunaan Narkotika telah di atur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Undang-Undang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Narkotika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omor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2009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tentang Narkotika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27:</w:t>
      </w:r>
    </w:p>
    <w:p w:rsidR="00B75108" w:rsidRDefault="00B75108" w:rsidP="00B75108">
      <w:pPr>
        <w:spacing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(1)  Setiap Penyalahg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una:</w:t>
      </w:r>
    </w:p>
    <w:p w:rsidR="00B75108" w:rsidRPr="0070219B" w:rsidRDefault="00B75108" w:rsidP="00B75108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a. 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Narkotika Golongan I bagi diri sendiri dipidana dengan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pidana penjara paling lama 4 (empat) tahun;</w:t>
      </w:r>
    </w:p>
    <w:p w:rsidR="00B75108" w:rsidRPr="0070219B" w:rsidRDefault="00B75108" w:rsidP="00B75108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Narkotika Golongan II bagi diri sendiri dipidana dengan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pidana penjara paling lama 2 (dua) tahun; dan</w:t>
      </w:r>
    </w:p>
    <w:p w:rsidR="00B75108" w:rsidRDefault="00B75108" w:rsidP="00B75108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Narkotika Golongan III bagi diri sendiri dipidana dengan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pidana penjara paling lama 1 (satu) tahun.</w:t>
      </w:r>
    </w:p>
    <w:p w:rsidR="00B75108" w:rsidRDefault="00B75108" w:rsidP="00B75108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B75108" w:rsidRDefault="00B75108" w:rsidP="00B7510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Dalam memutus perkara sebagaimana dimaksud pada ayat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(1), hakim wajib memperhatikan ketentuan sebagaimana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dimaksud dalam Pasal 54, Pasal 55, dan Pasal 103.</w:t>
      </w:r>
    </w:p>
    <w:p w:rsidR="00B75108" w:rsidRPr="0064702A" w:rsidRDefault="00B75108" w:rsidP="00B7510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B75108" w:rsidRDefault="00B75108" w:rsidP="00B7510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Dalam hal Penyalahg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una sebagaimana dimaksud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ayat (1) dapat dibuktikan atau terbukti sebagai korban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penyalahgunaan Narkotika, Penyalah Guna tersebut wajib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7021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menjalani rehabilitasi medis dan rehabilitasi sosial.</w:t>
      </w:r>
    </w:p>
    <w:p w:rsidR="00B75108" w:rsidRPr="00AF070F" w:rsidRDefault="00B75108" w:rsidP="00B751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B75108" w:rsidRPr="00AF070F" w:rsidRDefault="00B75108" w:rsidP="00B751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Hakim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unsur-unsur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ketentuan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narkotika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golongan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Pertimbangan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unsur-unsur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teknis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pertimbangan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hakim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Mahkamah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No.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Penempatan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Penyalahggunaan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Korban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Penyalahggunaan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Pecandu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Narkotika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Lembaga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Rehabilitasi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Rehabilitasi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B75108" w:rsidRPr="008B4B17" w:rsidRDefault="00B75108" w:rsidP="00B75108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85DA1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Berdasarkan hal tersebut di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285DA1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atas, maka penulis terdorong untuk melakukan penelitian yang mendalam tentang</w:t>
      </w:r>
      <w:r w:rsidRPr="00285DA1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 “</w:t>
      </w:r>
      <w:r w:rsidRPr="003A3558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Pertimbangan Hakim Dalam Menjatuhkan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Putusan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r w:rsidRPr="003A3558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Terhadap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Pelaku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 Tindak Pidana Penyalahgunaan </w:t>
      </w:r>
      <w:r w:rsidRPr="003A3558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Narkotika Golongan I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 Bagi Diri Sendiri</w:t>
      </w:r>
      <w:r w:rsidRPr="003A3558">
        <w:rPr>
          <w:rFonts w:ascii="Times New Roman" w:hAnsi="Times New Roman" w:cs="Times New Roman"/>
          <w:b/>
          <w:sz w:val="24"/>
          <w:szCs w:val="24"/>
          <w:lang w:val="id-ID"/>
        </w:rPr>
        <w:t>”</w:t>
      </w:r>
    </w:p>
    <w:p w:rsidR="00B75108" w:rsidRPr="00B7178C" w:rsidRDefault="00B75108" w:rsidP="00B751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7178C">
        <w:rPr>
          <w:rFonts w:ascii="Times New Roman" w:hAnsi="Times New Roman" w:cs="Times New Roman"/>
          <w:b/>
          <w:sz w:val="24"/>
          <w:szCs w:val="24"/>
          <w:lang w:val="id-ID"/>
        </w:rPr>
        <w:t>Rumusan Masalah</w:t>
      </w:r>
    </w:p>
    <w:p w:rsidR="00B75108" w:rsidRPr="003A3558" w:rsidRDefault="00B75108" w:rsidP="00B7510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uraian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kemukakan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latar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belakang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dirumuskan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permasalahan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</w:t>
      </w:r>
      <w:proofErr w:type="spellEnd"/>
      <w:r w:rsidRPr="003A3558"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p w:rsidR="00B75108" w:rsidRPr="002B6CDB" w:rsidRDefault="00B75108" w:rsidP="00B75108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Bagaimana pertimbangan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akim dalam menjatuhkan sanksi pidana penjara penyalahgunaan Narkotika Golongan 1 </w:t>
      </w:r>
      <w:r w:rsidRPr="002B6CDB">
        <w:rPr>
          <w:rFonts w:ascii="Times New Roman" w:hAnsi="Times New Roman" w:cs="Times New Roman"/>
          <w:sz w:val="24"/>
          <w:szCs w:val="24"/>
        </w:rPr>
        <w:t>?</w:t>
      </w:r>
    </w:p>
    <w:p w:rsidR="00B75108" w:rsidRDefault="00B75108" w:rsidP="00B75108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Bagaimana pertimbangan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akim dalam menetapkan rehabilitasi penyalahgunaan Narkotika Golongan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 xml:space="preserve">1 </w:t>
      </w:r>
      <w:r w:rsidRPr="004252D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75108" w:rsidRDefault="00B75108" w:rsidP="00B75108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75108" w:rsidRDefault="00B75108" w:rsidP="00B75108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75108" w:rsidRDefault="00B75108" w:rsidP="00B75108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75108" w:rsidRDefault="00B75108" w:rsidP="00B75108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75108" w:rsidRPr="004859F4" w:rsidRDefault="00B75108" w:rsidP="00B75108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75108" w:rsidRPr="00B7178C" w:rsidRDefault="00B75108" w:rsidP="00B75108">
      <w:pPr>
        <w:pStyle w:val="ListParagraph"/>
        <w:numPr>
          <w:ilvl w:val="0"/>
          <w:numId w:val="7"/>
        </w:numPr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B7178C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lastRenderedPageBreak/>
        <w:t>Tujuan Penelitian</w:t>
      </w:r>
    </w:p>
    <w:p w:rsidR="00B75108" w:rsidRDefault="00B75108" w:rsidP="00B75108">
      <w:pPr>
        <w:pStyle w:val="ListParagraph"/>
        <w:spacing w:line="48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31175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Dari uraian latar belakang dan perumusan masalah di atas maka pada dasarnya penelitian ini bertujuan untuk:</w:t>
      </w:r>
    </w:p>
    <w:p w:rsidR="00B75108" w:rsidRPr="004B7F41" w:rsidRDefault="00B75108" w:rsidP="00B75108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52D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52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2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25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apa yang menjadi dasar pertimbangan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>akim dalam menjatuhkan sanksi pidana penjara penyalahgunaan Narkotika golongan 1</w:t>
      </w:r>
    </w:p>
    <w:p w:rsidR="00B75108" w:rsidRPr="00480ACF" w:rsidRDefault="00B75108" w:rsidP="00B75108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52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dasar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>akim menjatuhkan Rehabilitasi bagi penyalahgunaan Narkotika Golongan 1</w:t>
      </w:r>
    </w:p>
    <w:p w:rsidR="00B75108" w:rsidRPr="00B7178C" w:rsidRDefault="00B75108" w:rsidP="00B75108">
      <w:pPr>
        <w:pStyle w:val="ListParagraph"/>
        <w:numPr>
          <w:ilvl w:val="0"/>
          <w:numId w:val="7"/>
        </w:numPr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proofErr w:type="spellStart"/>
      <w:r w:rsidRPr="00B717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Metode</w:t>
      </w:r>
      <w:proofErr w:type="spellEnd"/>
      <w:r w:rsidRPr="00B717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B717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Penelitian</w:t>
      </w:r>
      <w:proofErr w:type="spellEnd"/>
    </w:p>
    <w:p w:rsidR="00B75108" w:rsidRPr="008E12C2" w:rsidRDefault="00B75108" w:rsidP="00B75108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2C2">
        <w:rPr>
          <w:rFonts w:ascii="Times New Roman" w:hAnsi="Times New Roman" w:cs="Times New Roman"/>
          <w:sz w:val="24"/>
          <w:szCs w:val="24"/>
          <w:lang w:val="id-ID"/>
        </w:rPr>
        <w:t>Jenis Penelitian</w:t>
      </w:r>
    </w:p>
    <w:p w:rsidR="00B75108" w:rsidRPr="00792055" w:rsidRDefault="00B75108" w:rsidP="00B75108">
      <w:pPr>
        <w:pStyle w:val="ListParagraph"/>
        <w:spacing w:after="0" w:line="480" w:lineRule="auto"/>
        <w:ind w:left="142" w:firstLine="8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2EF2">
        <w:rPr>
          <w:rFonts w:ascii="Times New Roman" w:hAnsi="Times New Roman" w:cs="Times New Roman"/>
          <w:sz w:val="24"/>
          <w:szCs w:val="24"/>
          <w:lang w:val="id-ID"/>
        </w:rPr>
        <w:t>Jenis penelitian yang digunakan adalah hukum normatif. Penelitian hukum normatif atau penelitian perpustakaan ini merupakan penelitian yang mengkaji studi dokumen, yakni menggunakan berbagai data sekunder seperti peraturan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2EF2">
        <w:rPr>
          <w:rFonts w:ascii="Times New Roman" w:hAnsi="Times New Roman" w:cs="Times New Roman"/>
          <w:sz w:val="24"/>
          <w:szCs w:val="24"/>
          <w:lang w:val="id-ID"/>
        </w:rPr>
        <w:t>perundang-undangan, keputusan pengadilan, teori hukum, dan dapat berupa pendapat para sarjana.</w:t>
      </w:r>
      <w:r w:rsidRPr="00962EF2">
        <w:rPr>
          <w:rStyle w:val="FootnoteReference"/>
          <w:rFonts w:ascii="Times New Roman" w:hAnsi="Times New Roman" w:cs="Times New Roman"/>
          <w:sz w:val="24"/>
          <w:szCs w:val="24"/>
          <w:lang w:val="id-ID"/>
        </w:rPr>
        <w:footnoteReference w:id="3"/>
      </w:r>
    </w:p>
    <w:p w:rsidR="00B75108" w:rsidRPr="00962EF2" w:rsidRDefault="00B75108" w:rsidP="00B75108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2EF2">
        <w:rPr>
          <w:rFonts w:ascii="Times New Roman" w:hAnsi="Times New Roman" w:cs="Times New Roman"/>
          <w:sz w:val="24"/>
          <w:szCs w:val="24"/>
          <w:lang w:val="id-ID"/>
        </w:rPr>
        <w:t>Sumber Data</w:t>
      </w:r>
    </w:p>
    <w:p w:rsidR="00B75108" w:rsidRPr="00962EF2" w:rsidRDefault="00B75108" w:rsidP="00B75108">
      <w:pPr>
        <w:spacing w:after="0" w:line="480" w:lineRule="auto"/>
        <w:ind w:left="1004" w:hanging="1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2EF2">
        <w:rPr>
          <w:rFonts w:ascii="Times New Roman" w:hAnsi="Times New Roman" w:cs="Times New Roman"/>
          <w:sz w:val="24"/>
          <w:szCs w:val="24"/>
          <w:lang w:val="id-ID"/>
        </w:rPr>
        <w:t>Adapun sumber data dalam penelitian ini adalah :</w:t>
      </w:r>
    </w:p>
    <w:p w:rsidR="00B75108" w:rsidRPr="00962EF2" w:rsidRDefault="00B75108" w:rsidP="00B75108">
      <w:pPr>
        <w:pStyle w:val="ListParagraph"/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2EF2">
        <w:rPr>
          <w:rFonts w:ascii="Times New Roman" w:hAnsi="Times New Roman" w:cs="Times New Roman"/>
          <w:sz w:val="24"/>
          <w:szCs w:val="24"/>
          <w:lang w:val="id-ID"/>
        </w:rPr>
        <w:t>Bahan hukum  primer yaitu  bahan hukum yang mengikat berupa peraturan perundang-undangan yang berhubungan, yaitu :</w:t>
      </w:r>
    </w:p>
    <w:p w:rsidR="00B75108" w:rsidRDefault="00B75108" w:rsidP="00B75108">
      <w:pPr>
        <w:pStyle w:val="ListParagraph"/>
        <w:numPr>
          <w:ilvl w:val="0"/>
          <w:numId w:val="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Undang-undang No 35 Tahun 2009 tentang Narkotika</w:t>
      </w:r>
    </w:p>
    <w:p w:rsidR="00B75108" w:rsidRDefault="00B75108" w:rsidP="00B75108">
      <w:pPr>
        <w:pStyle w:val="ListParagraph"/>
        <w:numPr>
          <w:ilvl w:val="0"/>
          <w:numId w:val="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SEMA 04 Tahun 2010 tentang penempatan penyalahgunaan, korban penyalahgunaan dan pecandu Narkotika ke dalam Lembaga Rehabilitasi Medis dan rehabilitasi Sosial</w:t>
      </w:r>
    </w:p>
    <w:p w:rsidR="00B75108" w:rsidRDefault="00B75108" w:rsidP="00B75108">
      <w:pPr>
        <w:pStyle w:val="ListParagraph"/>
        <w:numPr>
          <w:ilvl w:val="0"/>
          <w:numId w:val="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20 Putusan Pengadilan Negeri yang memutus perkara Narkotika terhadap pelaku yang dikenakan Pasal 127 Undang-Undang No 35 Tahun 2009</w:t>
      </w:r>
    </w:p>
    <w:p w:rsidR="00B75108" w:rsidRPr="009E2E3A" w:rsidRDefault="00B75108" w:rsidP="00B75108">
      <w:pPr>
        <w:pStyle w:val="Default"/>
        <w:numPr>
          <w:ilvl w:val="0"/>
          <w:numId w:val="2"/>
        </w:numPr>
        <w:spacing w:line="480" w:lineRule="auto"/>
        <w:ind w:left="567" w:hanging="283"/>
        <w:jc w:val="both"/>
      </w:pPr>
      <w:r w:rsidRPr="009E2E3A">
        <w:t xml:space="preserve">Data </w:t>
      </w:r>
      <w:proofErr w:type="spellStart"/>
      <w:r w:rsidRPr="009E2E3A">
        <w:t>sekunder</w:t>
      </w:r>
      <w:proofErr w:type="spellEnd"/>
      <w:r w:rsidRPr="009E2E3A">
        <w:t xml:space="preserve"> </w:t>
      </w:r>
      <w:proofErr w:type="spellStart"/>
      <w:r w:rsidRPr="009E2E3A">
        <w:t>yaitu</w:t>
      </w:r>
      <w:proofErr w:type="spellEnd"/>
      <w:r w:rsidRPr="009E2E3A">
        <w:t xml:space="preserve">, data yang </w:t>
      </w:r>
      <w:proofErr w:type="spellStart"/>
      <w:r w:rsidRPr="009E2E3A">
        <w:t>diperoleh</w:t>
      </w:r>
      <w:proofErr w:type="spellEnd"/>
      <w:r w:rsidRPr="009E2E3A">
        <w:t xml:space="preserve"> </w:t>
      </w:r>
      <w:proofErr w:type="spellStart"/>
      <w:r w:rsidRPr="009E2E3A">
        <w:t>melalui</w:t>
      </w:r>
      <w:proofErr w:type="spellEnd"/>
      <w:r w:rsidRPr="009E2E3A">
        <w:t xml:space="preserve"> </w:t>
      </w:r>
      <w:proofErr w:type="spellStart"/>
      <w:r w:rsidRPr="009E2E3A">
        <w:t>studi</w:t>
      </w:r>
      <w:proofErr w:type="spellEnd"/>
      <w:r w:rsidRPr="009E2E3A">
        <w:t xml:space="preserve"> </w:t>
      </w:r>
      <w:proofErr w:type="spellStart"/>
      <w:r w:rsidRPr="009E2E3A">
        <w:t>kepustakaan</w:t>
      </w:r>
      <w:proofErr w:type="spellEnd"/>
      <w:r w:rsidRPr="009E2E3A">
        <w:t xml:space="preserve"> yang </w:t>
      </w:r>
      <w:proofErr w:type="spellStart"/>
      <w:r w:rsidRPr="009E2E3A">
        <w:t>menelah</w:t>
      </w:r>
      <w:proofErr w:type="spellEnd"/>
      <w:r w:rsidRPr="009E2E3A">
        <w:t xml:space="preserve"> </w:t>
      </w:r>
      <w:proofErr w:type="spellStart"/>
      <w:r w:rsidRPr="009E2E3A">
        <w:t>literatur</w:t>
      </w:r>
      <w:proofErr w:type="spellEnd"/>
      <w:r w:rsidRPr="009E2E3A">
        <w:t xml:space="preserve">, </w:t>
      </w:r>
      <w:proofErr w:type="spellStart"/>
      <w:r w:rsidRPr="009E2E3A">
        <w:t>artikel</w:t>
      </w:r>
      <w:proofErr w:type="spellEnd"/>
      <w:r w:rsidRPr="009E2E3A">
        <w:t xml:space="preserve">, </w:t>
      </w:r>
      <w:proofErr w:type="spellStart"/>
      <w:r w:rsidRPr="009E2E3A">
        <w:t>jurnal</w:t>
      </w:r>
      <w:proofErr w:type="spellEnd"/>
      <w:r w:rsidRPr="009E2E3A">
        <w:t xml:space="preserve"> </w:t>
      </w:r>
      <w:proofErr w:type="spellStart"/>
      <w:r w:rsidRPr="009E2E3A">
        <w:t>hukum</w:t>
      </w:r>
      <w:proofErr w:type="spellEnd"/>
      <w:r w:rsidRPr="009E2E3A">
        <w:t xml:space="preserve">, </w:t>
      </w:r>
      <w:proofErr w:type="spellStart"/>
      <w:r w:rsidRPr="009E2E3A">
        <w:t>pendapat</w:t>
      </w:r>
      <w:proofErr w:type="spellEnd"/>
      <w:r w:rsidRPr="009E2E3A">
        <w:t xml:space="preserve"> para </w:t>
      </w:r>
      <w:proofErr w:type="spellStart"/>
      <w:r w:rsidRPr="009E2E3A">
        <w:t>sarjana</w:t>
      </w:r>
      <w:proofErr w:type="spellEnd"/>
      <w:r w:rsidRPr="009E2E3A">
        <w:t xml:space="preserve">, </w:t>
      </w:r>
      <w:proofErr w:type="spellStart"/>
      <w:r w:rsidRPr="009E2E3A">
        <w:t>dan</w:t>
      </w:r>
      <w:proofErr w:type="spellEnd"/>
      <w:r w:rsidRPr="009E2E3A">
        <w:t xml:space="preserve"> yang </w:t>
      </w:r>
      <w:proofErr w:type="spellStart"/>
      <w:r w:rsidRPr="009E2E3A">
        <w:t>berkaitan</w:t>
      </w:r>
      <w:proofErr w:type="spellEnd"/>
      <w:r w:rsidRPr="009E2E3A">
        <w:t xml:space="preserve"> </w:t>
      </w:r>
      <w:proofErr w:type="spellStart"/>
      <w:r w:rsidRPr="009E2E3A">
        <w:t>dengan</w:t>
      </w:r>
      <w:proofErr w:type="spellEnd"/>
      <w:r w:rsidRPr="009E2E3A">
        <w:t xml:space="preserve"> </w:t>
      </w:r>
      <w:proofErr w:type="spellStart"/>
      <w:r w:rsidRPr="009E2E3A">
        <w:t>topik</w:t>
      </w:r>
      <w:proofErr w:type="spellEnd"/>
      <w:r w:rsidRPr="009E2E3A">
        <w:t xml:space="preserve"> </w:t>
      </w:r>
      <w:proofErr w:type="spellStart"/>
      <w:r w:rsidRPr="009E2E3A">
        <w:t>penelitian</w:t>
      </w:r>
      <w:proofErr w:type="spellEnd"/>
      <w:r w:rsidRPr="009E2E3A">
        <w:t xml:space="preserve">. </w:t>
      </w:r>
    </w:p>
    <w:p w:rsidR="00B75108" w:rsidRPr="00095496" w:rsidRDefault="00B75108" w:rsidP="00B75108">
      <w:pPr>
        <w:spacing w:line="48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E2E3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No. 35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E3A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9E2E3A">
        <w:rPr>
          <w:rFonts w:ascii="Times New Roman" w:hAnsi="Times New Roman" w:cs="Times New Roman"/>
          <w:sz w:val="24"/>
          <w:szCs w:val="24"/>
        </w:rPr>
        <w:t>.</w:t>
      </w:r>
    </w:p>
    <w:p w:rsidR="00B75108" w:rsidRPr="004B3159" w:rsidRDefault="00B75108" w:rsidP="00B75108">
      <w:pPr>
        <w:pStyle w:val="ListParagraph"/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2EF2">
        <w:rPr>
          <w:rFonts w:ascii="Times New Roman" w:hAnsi="Times New Roman" w:cs="Times New Roman"/>
          <w:sz w:val="24"/>
          <w:szCs w:val="24"/>
          <w:lang w:val="id-ID"/>
        </w:rPr>
        <w:t>Bahan hukum tersier yaitu bahan-bahan yang memberikan informasi tentang bahan hukum primer dan bahan hukum sekunder.</w:t>
      </w:r>
      <w:r w:rsidRPr="00962EF2">
        <w:rPr>
          <w:rStyle w:val="FootnoteReference"/>
          <w:rFonts w:ascii="Times New Roman" w:hAnsi="Times New Roman" w:cs="Times New Roman"/>
          <w:sz w:val="24"/>
          <w:szCs w:val="24"/>
          <w:lang w:val="id-ID"/>
        </w:rPr>
        <w:footnoteReference w:id="4"/>
      </w:r>
    </w:p>
    <w:p w:rsidR="00B75108" w:rsidRPr="00962EF2" w:rsidRDefault="00B75108" w:rsidP="00B75108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2EF2"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</w:p>
    <w:p w:rsidR="00B75108" w:rsidRPr="008B4B17" w:rsidRDefault="00B75108" w:rsidP="00B7510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2EF2">
        <w:rPr>
          <w:rFonts w:ascii="Times New Roman" w:hAnsi="Times New Roman" w:cs="Times New Roman"/>
          <w:sz w:val="24"/>
          <w:szCs w:val="24"/>
          <w:lang w:val="id-ID"/>
        </w:rPr>
        <w:t>Dalam pengumpulan data penulis menggunakan teknik pengumpulan studi dokumen yaitu pengumpulan data dari bahan-bahan yang erat hubungannya dengan bahan hukum primer. Dengan cara mempelajari peraturan perundang-undangan dan dokumen-dokumen hukum yang mendukung objek penelitian dan penelusuran bahan hukum.</w:t>
      </w:r>
    </w:p>
    <w:p w:rsidR="00B75108" w:rsidRPr="00962EF2" w:rsidRDefault="00B75108" w:rsidP="00B75108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2EF2">
        <w:rPr>
          <w:rFonts w:ascii="Times New Roman" w:hAnsi="Times New Roman" w:cs="Times New Roman"/>
          <w:sz w:val="24"/>
          <w:szCs w:val="24"/>
          <w:lang w:val="id-ID"/>
        </w:rPr>
        <w:t>Analisis Data</w:t>
      </w:r>
    </w:p>
    <w:p w:rsidR="00B75108" w:rsidRDefault="00B75108" w:rsidP="00B7510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B75108" w:rsidSect="00CB317B">
          <w:headerReference w:type="default" r:id="rId9"/>
          <w:footerReference w:type="default" r:id="rId10"/>
          <w:pgSz w:w="11906" w:h="16838"/>
          <w:pgMar w:top="2268" w:right="1701" w:bottom="1701" w:left="2268" w:header="737" w:footer="708" w:gutter="0"/>
          <w:pgNumType w:start="2"/>
          <w:cols w:space="708"/>
          <w:docGrid w:linePitch="360"/>
        </w:sectPr>
      </w:pPr>
      <w:r w:rsidRPr="00962EF2">
        <w:rPr>
          <w:rFonts w:ascii="Times New Roman" w:hAnsi="Times New Roman" w:cs="Times New Roman"/>
          <w:sz w:val="24"/>
          <w:szCs w:val="24"/>
          <w:lang w:val="id-ID"/>
        </w:rPr>
        <w:lastRenderedPageBreak/>
        <w:t>Data yang diperoleh dari penelusuran bahan hukum yang dianalisis dengan menggunakan metode kualitatif, yaitu menguraikan data secara bermutu dalam bentuk kalimat yang teratur, logis, efektif da</w:t>
      </w:r>
      <w:r>
        <w:rPr>
          <w:rFonts w:ascii="Times New Roman" w:hAnsi="Times New Roman" w:cs="Times New Roman"/>
          <w:sz w:val="24"/>
          <w:szCs w:val="24"/>
          <w:lang w:val="id-ID"/>
        </w:rPr>
        <w:t>n kemudian dilakukan pembahasan</w:t>
      </w:r>
    </w:p>
    <w:p w:rsidR="00D47016" w:rsidRDefault="00D47016" w:rsidP="00B75108">
      <w:pPr>
        <w:ind w:firstLine="0"/>
      </w:pPr>
    </w:p>
    <w:sectPr w:rsidR="00D47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08" w:rsidRDefault="00B75108" w:rsidP="00B75108">
      <w:pPr>
        <w:spacing w:after="0"/>
      </w:pPr>
      <w:r>
        <w:separator/>
      </w:r>
    </w:p>
  </w:endnote>
  <w:endnote w:type="continuationSeparator" w:id="0">
    <w:p w:rsidR="00B75108" w:rsidRDefault="00B75108" w:rsidP="00B751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74"/>
      <w:docPartObj>
        <w:docPartGallery w:val="Page Numbers (Bottom of Page)"/>
        <w:docPartUnique/>
      </w:docPartObj>
    </w:sdtPr>
    <w:sdtContent>
      <w:p w:rsidR="00B75108" w:rsidRDefault="00B75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5108" w:rsidRDefault="00B75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08" w:rsidRDefault="00B75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08" w:rsidRDefault="00B75108" w:rsidP="00B75108">
      <w:pPr>
        <w:spacing w:after="0"/>
      </w:pPr>
      <w:r>
        <w:separator/>
      </w:r>
    </w:p>
  </w:footnote>
  <w:footnote w:type="continuationSeparator" w:id="0">
    <w:p w:rsidR="00B75108" w:rsidRDefault="00B75108" w:rsidP="00B75108">
      <w:pPr>
        <w:spacing w:after="0"/>
      </w:pPr>
      <w:r>
        <w:continuationSeparator/>
      </w:r>
    </w:p>
  </w:footnote>
  <w:footnote w:id="1">
    <w:p w:rsidR="00B75108" w:rsidRPr="001954F6" w:rsidRDefault="00B75108" w:rsidP="00B75108">
      <w:pPr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Sudarto, 1986, </w:t>
      </w:r>
      <w:r>
        <w:rPr>
          <w:rFonts w:ascii="Times New Roman" w:eastAsia="Times New Roman" w:hAnsi="Times New Roman" w:cs="Times New Roman"/>
          <w:i/>
          <w:sz w:val="20"/>
          <w:szCs w:val="20"/>
          <w:lang w:val="id-ID" w:eastAsia="id-ID"/>
        </w:rPr>
        <w:t xml:space="preserve"> Hukum dan Hukum Pidana, </w:t>
      </w:r>
      <w:r w:rsidRPr="001954F6">
        <w:rPr>
          <w:rFonts w:ascii="Times New Roman" w:eastAsia="Times New Roman" w:hAnsi="Times New Roman" w:cs="Times New Roman"/>
          <w:i/>
          <w:sz w:val="20"/>
          <w:szCs w:val="20"/>
          <w:lang w:val="id-ID" w:eastAsia="id-ID"/>
        </w:rPr>
        <w:t xml:space="preserve"> Alumni</w:t>
      </w:r>
      <w:r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, Bandung, hlm. </w:t>
      </w:r>
      <w:r w:rsidRPr="001954F6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>74</w:t>
      </w:r>
      <w:r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>.</w:t>
      </w:r>
    </w:p>
    <w:p w:rsidR="00B75108" w:rsidRPr="001954F6" w:rsidRDefault="00B75108" w:rsidP="00B75108">
      <w:pPr>
        <w:pStyle w:val="FootnoteText"/>
        <w:rPr>
          <w:lang w:val="id-ID"/>
        </w:rPr>
      </w:pPr>
    </w:p>
  </w:footnote>
  <w:footnote w:id="2">
    <w:p w:rsidR="00B75108" w:rsidRPr="00D64B31" w:rsidRDefault="00B75108" w:rsidP="00B75108">
      <w:pPr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Ahmad Rifai, 2010, </w:t>
      </w:r>
      <w:r>
        <w:rPr>
          <w:rFonts w:ascii="Times New Roman" w:eastAsia="Times New Roman" w:hAnsi="Times New Roman" w:cs="Times New Roman"/>
          <w:i/>
          <w:sz w:val="20"/>
          <w:szCs w:val="20"/>
          <w:lang w:val="id-ID" w:eastAsia="id-ID"/>
        </w:rPr>
        <w:t>Penemuan H</w:t>
      </w:r>
      <w:r w:rsidRPr="006D6F2A">
        <w:rPr>
          <w:rFonts w:ascii="Times New Roman" w:eastAsia="Times New Roman" w:hAnsi="Times New Roman" w:cs="Times New Roman"/>
          <w:i/>
          <w:sz w:val="20"/>
          <w:szCs w:val="20"/>
          <w:lang w:val="id-ID" w:eastAsia="id-ID"/>
        </w:rPr>
        <w:t>ukum</w:t>
      </w:r>
      <w:r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>, Sinar Grafika,  Jakarta,  h</w:t>
      </w:r>
      <w:r w:rsidRPr="006D6F2A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eastAsia="id-ID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 xml:space="preserve"> </w:t>
      </w:r>
      <w:r w:rsidRPr="006D6F2A"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  <w:t>96</w:t>
      </w:r>
      <w:r>
        <w:rPr>
          <w:rFonts w:ascii="Times New Roman" w:eastAsia="Times New Roman" w:hAnsi="Times New Roman" w:cs="Times New Roman"/>
          <w:sz w:val="20"/>
          <w:szCs w:val="20"/>
          <w:lang w:eastAsia="id-ID"/>
        </w:rPr>
        <w:t>.</w:t>
      </w:r>
    </w:p>
    <w:p w:rsidR="00B75108" w:rsidRPr="006D6F2A" w:rsidRDefault="00B75108" w:rsidP="00B75108">
      <w:pPr>
        <w:pStyle w:val="FootnoteText"/>
        <w:rPr>
          <w:lang w:val="id-ID"/>
        </w:rPr>
      </w:pPr>
    </w:p>
  </w:footnote>
  <w:footnote w:id="3">
    <w:p w:rsidR="00B75108" w:rsidRPr="00061F26" w:rsidRDefault="00B75108" w:rsidP="00B75108">
      <w:pPr>
        <w:pStyle w:val="FootnoteText"/>
        <w:ind w:firstLine="993"/>
        <w:jc w:val="both"/>
        <w:rPr>
          <w:rFonts w:ascii="Times New Roman" w:hAnsi="Times New Roman" w:cs="Times New Roman"/>
          <w:lang w:val="id-ID"/>
        </w:rPr>
      </w:pPr>
      <w:r w:rsidRPr="00061F26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id-ID"/>
        </w:rPr>
        <w:t xml:space="preserve">Ronny Hanitijo Soemitro, 1990, </w:t>
      </w:r>
      <w:r w:rsidRPr="00061F26">
        <w:rPr>
          <w:rFonts w:ascii="Times New Roman" w:hAnsi="Times New Roman" w:cs="Times New Roman"/>
          <w:i/>
          <w:lang w:val="id-ID"/>
        </w:rPr>
        <w:t>Metodologi Penelitian Hukum dan Jumetri</w:t>
      </w:r>
      <w:r>
        <w:rPr>
          <w:rFonts w:ascii="Times New Roman" w:hAnsi="Times New Roman" w:cs="Times New Roman"/>
          <w:lang w:val="id-ID"/>
        </w:rPr>
        <w:t xml:space="preserve">, Ghalia Indonesia, Jakarta, </w:t>
      </w:r>
      <w:r w:rsidRPr="00061F26">
        <w:rPr>
          <w:rFonts w:ascii="Times New Roman" w:hAnsi="Times New Roman" w:cs="Times New Roman"/>
          <w:lang w:val="id-ID"/>
        </w:rPr>
        <w:t xml:space="preserve"> hlm</w:t>
      </w:r>
      <w:r>
        <w:rPr>
          <w:rFonts w:ascii="Times New Roman" w:hAnsi="Times New Roman" w:cs="Times New Roman"/>
          <w:lang w:val="id-ID"/>
        </w:rPr>
        <w:t xml:space="preserve">. </w:t>
      </w:r>
      <w:r w:rsidRPr="00061F26">
        <w:rPr>
          <w:rFonts w:ascii="Times New Roman" w:hAnsi="Times New Roman" w:cs="Times New Roman"/>
          <w:lang w:val="id-ID"/>
        </w:rPr>
        <w:t>10</w:t>
      </w:r>
      <w:r>
        <w:rPr>
          <w:rFonts w:ascii="Times New Roman" w:hAnsi="Times New Roman" w:cs="Times New Roman"/>
          <w:lang w:val="id-ID"/>
        </w:rPr>
        <w:t>.</w:t>
      </w:r>
      <w:r w:rsidRPr="00061F26">
        <w:rPr>
          <w:rFonts w:ascii="Times New Roman" w:hAnsi="Times New Roman" w:cs="Times New Roman"/>
          <w:lang w:val="id-ID"/>
        </w:rPr>
        <w:tab/>
      </w:r>
    </w:p>
  </w:footnote>
  <w:footnote w:id="4">
    <w:p w:rsidR="00B75108" w:rsidRPr="00061F26" w:rsidRDefault="00B75108" w:rsidP="00B75108">
      <w:pPr>
        <w:pStyle w:val="FootnoteText"/>
        <w:ind w:firstLine="993"/>
        <w:rPr>
          <w:rFonts w:ascii="Times New Roman" w:hAnsi="Times New Roman" w:cs="Times New Roman"/>
          <w:lang w:val="id-ID"/>
        </w:rPr>
      </w:pPr>
      <w:r w:rsidRPr="00061F26">
        <w:rPr>
          <w:rStyle w:val="FootnoteReference"/>
          <w:rFonts w:ascii="Times New Roman" w:hAnsi="Times New Roman" w:cs="Times New Roman"/>
        </w:rPr>
        <w:footnoteRef/>
      </w:r>
      <w:r w:rsidRPr="00061F26">
        <w:rPr>
          <w:rFonts w:ascii="Times New Roman" w:hAnsi="Times New Roman" w:cs="Times New Roman"/>
          <w:i/>
          <w:lang w:val="id-ID"/>
        </w:rPr>
        <w:t>Ibid</w:t>
      </w:r>
      <w:r>
        <w:rPr>
          <w:rFonts w:ascii="Times New Roman" w:hAnsi="Times New Roman" w:cs="Times New Roman"/>
          <w:lang w:val="id-ID"/>
        </w:rPr>
        <w:t xml:space="preserve">, hlm. </w:t>
      </w:r>
      <w:r w:rsidRPr="00061F26">
        <w:rPr>
          <w:rFonts w:ascii="Times New Roman" w:hAnsi="Times New Roman" w:cs="Times New Roman"/>
          <w:lang w:val="id-ID"/>
        </w:rPr>
        <w:t>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08" w:rsidRPr="00A50438" w:rsidRDefault="00B75108">
    <w:pPr>
      <w:pStyle w:val="Header"/>
      <w:jc w:val="right"/>
      <w:rPr>
        <w:lang w:val="id-ID"/>
      </w:rPr>
    </w:pPr>
  </w:p>
  <w:p w:rsidR="00B75108" w:rsidRPr="00A50438" w:rsidRDefault="00B75108" w:rsidP="00A50438">
    <w:pPr>
      <w:pStyle w:val="Header"/>
      <w:ind w:firstLine="0"/>
      <w:rPr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306347"/>
      <w:docPartObj>
        <w:docPartGallery w:val="Page Numbers (Top of Page)"/>
        <w:docPartUnique/>
      </w:docPartObj>
    </w:sdtPr>
    <w:sdtContent>
      <w:p w:rsidR="00B75108" w:rsidRDefault="00B751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5108" w:rsidRPr="00A50438" w:rsidRDefault="00B75108" w:rsidP="00A50438">
    <w:pPr>
      <w:pStyle w:val="Header"/>
      <w:ind w:firstLine="0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C3B"/>
    <w:multiLevelType w:val="hybridMultilevel"/>
    <w:tmpl w:val="1F80DDE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4056" w:hanging="360"/>
      </w:pPr>
    </w:lvl>
    <w:lvl w:ilvl="2" w:tplc="0409001B" w:tentative="1">
      <w:start w:val="1"/>
      <w:numFmt w:val="lowerRoman"/>
      <w:lvlText w:val="%3."/>
      <w:lvlJc w:val="right"/>
      <w:pPr>
        <w:ind w:left="4776" w:hanging="180"/>
      </w:pPr>
    </w:lvl>
    <w:lvl w:ilvl="3" w:tplc="0409000F" w:tentative="1">
      <w:start w:val="1"/>
      <w:numFmt w:val="decimal"/>
      <w:lvlText w:val="%4."/>
      <w:lvlJc w:val="left"/>
      <w:pPr>
        <w:ind w:left="5496" w:hanging="360"/>
      </w:pPr>
    </w:lvl>
    <w:lvl w:ilvl="4" w:tplc="04090019" w:tentative="1">
      <w:start w:val="1"/>
      <w:numFmt w:val="lowerLetter"/>
      <w:lvlText w:val="%5."/>
      <w:lvlJc w:val="left"/>
      <w:pPr>
        <w:ind w:left="6216" w:hanging="360"/>
      </w:pPr>
    </w:lvl>
    <w:lvl w:ilvl="5" w:tplc="0409001B" w:tentative="1">
      <w:start w:val="1"/>
      <w:numFmt w:val="lowerRoman"/>
      <w:lvlText w:val="%6."/>
      <w:lvlJc w:val="right"/>
      <w:pPr>
        <w:ind w:left="6936" w:hanging="180"/>
      </w:pPr>
    </w:lvl>
    <w:lvl w:ilvl="6" w:tplc="0409000F" w:tentative="1">
      <w:start w:val="1"/>
      <w:numFmt w:val="decimal"/>
      <w:lvlText w:val="%7."/>
      <w:lvlJc w:val="left"/>
      <w:pPr>
        <w:ind w:left="7656" w:hanging="360"/>
      </w:pPr>
    </w:lvl>
    <w:lvl w:ilvl="7" w:tplc="04090019" w:tentative="1">
      <w:start w:val="1"/>
      <w:numFmt w:val="lowerLetter"/>
      <w:lvlText w:val="%8."/>
      <w:lvlJc w:val="left"/>
      <w:pPr>
        <w:ind w:left="8376" w:hanging="360"/>
      </w:pPr>
    </w:lvl>
    <w:lvl w:ilvl="8" w:tplc="040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" w15:restartNumberingAfterBreak="0">
    <w:nsid w:val="09536A35"/>
    <w:multiLevelType w:val="hybridMultilevel"/>
    <w:tmpl w:val="74AEC10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720E17F2">
      <w:start w:val="2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5E487242">
      <w:start w:val="1"/>
      <w:numFmt w:val="decimal"/>
      <w:lvlText w:val="%4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18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A191E"/>
    <w:multiLevelType w:val="hybridMultilevel"/>
    <w:tmpl w:val="9DD8F6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F641A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12B32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E695E"/>
    <w:multiLevelType w:val="hybridMultilevel"/>
    <w:tmpl w:val="563E057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0F">
      <w:start w:val="1"/>
      <w:numFmt w:val="decimal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74308"/>
    <w:multiLevelType w:val="hybridMultilevel"/>
    <w:tmpl w:val="AF3C0E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205C"/>
    <w:multiLevelType w:val="hybridMultilevel"/>
    <w:tmpl w:val="FBC8F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D4685C"/>
    <w:multiLevelType w:val="hybridMultilevel"/>
    <w:tmpl w:val="461AA4A6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BC92605"/>
    <w:multiLevelType w:val="hybridMultilevel"/>
    <w:tmpl w:val="F59C29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18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08"/>
    <w:rsid w:val="00B75108"/>
    <w:rsid w:val="00D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8F3B"/>
  <w15:chartTrackingRefBased/>
  <w15:docId w15:val="{A9038C0F-0033-46EF-9335-EFE4F7EB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108"/>
    <w:pPr>
      <w:spacing w:after="200" w:line="240" w:lineRule="auto"/>
      <w:ind w:firstLine="709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0"/>
    <w:basedOn w:val="Normal"/>
    <w:link w:val="ListParagraphChar"/>
    <w:uiPriority w:val="34"/>
    <w:qFormat/>
    <w:rsid w:val="00B75108"/>
    <w:pPr>
      <w:ind w:left="720"/>
      <w:contextualSpacing/>
    </w:pPr>
  </w:style>
  <w:style w:type="character" w:customStyle="1" w:styleId="ListParagraphChar">
    <w:name w:val="List Paragraph Char"/>
    <w:aliases w:val="Heading 10 Char"/>
    <w:link w:val="ListParagraph"/>
    <w:uiPriority w:val="34"/>
    <w:locked/>
    <w:rsid w:val="00B75108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51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1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1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108"/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7510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510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5108"/>
    <w:rPr>
      <w:vertAlign w:val="superscript"/>
    </w:rPr>
  </w:style>
  <w:style w:type="paragraph" w:customStyle="1" w:styleId="Default">
    <w:name w:val="Default"/>
    <w:rsid w:val="00B75108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2018-08-25T16:40:00Z</dcterms:created>
  <dcterms:modified xsi:type="dcterms:W3CDTF">2018-08-25T16:47:00Z</dcterms:modified>
</cp:coreProperties>
</file>