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1" w:rsidRDefault="00E91941" w:rsidP="00E919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</w:t>
      </w:r>
      <w:bookmarkStart w:id="0" w:name="_GoBack"/>
      <w:bookmarkEnd w:id="0"/>
    </w:p>
    <w:p w:rsidR="00E91941" w:rsidRDefault="00E91941" w:rsidP="00E9194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</w:p>
    <w:p w:rsidR="00E91941" w:rsidRDefault="00E91941" w:rsidP="00E9194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penyelenggaraan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perdagangan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internasional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bebas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maka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bisa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pungkiri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akan</w:t>
      </w:r>
      <w:proofErr w:type="spellEnd"/>
      <w:proofErr w:type="gram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terjadinya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(</w:t>
      </w:r>
      <w:r>
        <w:rPr>
          <w:rFonts w:ascii="Times New Roman" w:eastAsia="Cambria" w:hAnsi="Times New Roman" w:cs="Times New Roman"/>
          <w:i/>
          <w:color w:val="000000"/>
          <w:sz w:val="24"/>
          <w:szCs w:val="24"/>
          <w:lang w:val="en-US" w:eastAsia="zh-CN"/>
        </w:rPr>
        <w:t>dispute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)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antar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terlibat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luar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menjadi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pilihan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alternatif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para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bersengketa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Salah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satu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luar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adalah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melalui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forum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Pasal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60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Undang-Undang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Nomor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30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Tahun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1999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tentang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Alternatif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(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selanjutnya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disingkat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UU AAPS)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menyebutkan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bersifat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final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mempunyai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kekuatan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tetap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mengikat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para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Artinya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diajukan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upaya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banding,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kasasi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atau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peninjauan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kembali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.</w:t>
      </w:r>
      <w:proofErr w:type="gramEnd"/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Berdasarkan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ketentuan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Pasal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59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angka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(1)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(4) UU AAPS,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sifat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final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mengikat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digantungkan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kewajiban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untuk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mendaftarkan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>ke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negeri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sehingga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dilaksanakan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Kemudian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berdasarkan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ketentuan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Pasal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70 UU AAPS,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bersifat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final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mengikat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masih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diajukan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upaya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pembatalan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apabila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mengandung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unsur-unsur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diatur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antara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lain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berikut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:</w:t>
      </w:r>
    </w:p>
    <w:p w:rsidR="00E91941" w:rsidRDefault="00E91941" w:rsidP="00E91941">
      <w:pPr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Surat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dokumen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diajukan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pemeriksaan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setelah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dijatuhkan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diakui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palsu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dinyatakan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palsu</w:t>
      </w:r>
      <w:proofErr w:type="spellEnd"/>
    </w:p>
    <w:p w:rsidR="00E91941" w:rsidRDefault="00E91941" w:rsidP="00E91941">
      <w:pPr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Setelah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diambil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ditemukan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dokumen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bersifat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menentukan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disembunyikan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lawan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:rsidR="00E91941" w:rsidRDefault="00E91941" w:rsidP="00E91941">
      <w:pPr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diambil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hasil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tipu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muslihat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pemeriksaan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dilepaskan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integrasi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pertukaran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pandangan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aspek-aspek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kebudayaan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memengaruhi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Di-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terkena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"/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free market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free competition.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memperlancar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menyehatkan-nya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multinational agreement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pungkiri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(dispute)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berimbas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,penuruan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kemandulan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Terhadap sengketa yang terjadi, pada dasarnya peraturan perundang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undangan di Indonesia telah menyediakan sarana untuk menyelesaikan sengketa para pihak. Hal yang dapat ditempuh oleh para pihak antara lain yaitu: melalui proses Peradilan Umum (litigasi) dan melalui proses di luar pengadilan (non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litigasi).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menempatkan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berlawanan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ultimatum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remidium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Sehubung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efisien,efektif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liberalisasi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(alternative disputes resolution),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arbitrase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:rsidR="00E91941" w:rsidRDefault="00E91941" w:rsidP="00E91941">
      <w:pPr>
        <w:spacing w:after="0" w:line="480" w:lineRule="auto"/>
        <w:ind w:left="426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Garuda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Helice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Leasing S.A.S.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Garuda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maskapai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penyewaan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penyewaan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Helice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 xml:space="preserve"> Leasing S.A.S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mengajukan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permohonan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penarikan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jaminan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dana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rekening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Garuda Indonesia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Belanda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kurun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waktu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bulan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Belanda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menyetujui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permohonan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tanggal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29 Mei 2020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Prancis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juga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mengabulkan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permohonan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jaminan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Helice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Leasing S.A.S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rekening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garuda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Prancis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Hal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terkait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pembayaran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pesawat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belum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Garuda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Menurut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Peter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Gontha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Gugatan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wanprestasi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juga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dialami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Garuda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Aercap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14 Mei 2020.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Salah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pemberi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usaha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mengajukan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gugatan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London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terkait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pembayaran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pesawat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belum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memasuki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persidangan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London.</w:t>
      </w:r>
      <w:r>
        <w:rPr>
          <w:rStyle w:val="FootnoteReference"/>
          <w:rFonts w:ascii="Times New Roman" w:eastAsia="SimSun" w:hAnsi="Times New Roman" w:cs="Times New Roman"/>
          <w:sz w:val="24"/>
          <w:szCs w:val="24"/>
          <w:lang w:val="en-US" w:eastAsia="zh-CN"/>
        </w:rPr>
        <w:footnoteReference w:id="5"/>
      </w:r>
    </w:p>
    <w:p w:rsidR="00E91941" w:rsidRDefault="00E91941" w:rsidP="00E91941">
      <w:pPr>
        <w:spacing w:after="0" w:line="480" w:lineRule="auto"/>
        <w:ind w:left="426"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Ditinjau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masalah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kedua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tindakan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pengadilan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London.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Kasus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diatas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satu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contoh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menggunakan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Selain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musyawarah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mufakat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ketiga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netral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memiliki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beberapa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kelebihan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kekuranganya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tersendiri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kelebihan-kelebihan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berikut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Prosedur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berbelit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dicapai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waktu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relatif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singkat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lebih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murah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menghindari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expose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pembuktian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lebih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fleksibel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memilih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mana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diberlakukan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prosesnya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Sedangkan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kekuranganya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penyelsaian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melalui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menjamin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bahwa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mengikat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internasional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menjamin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bahawa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pihak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puas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dikeluarkan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akan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melaksanakan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keputusan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>
        <w:rPr>
          <w:rStyle w:val="FootnoteReference"/>
          <w:rFonts w:ascii="Times New Roman" w:eastAsia="SimSun" w:hAnsi="Times New Roman" w:cs="Times New Roman"/>
          <w:sz w:val="24"/>
          <w:szCs w:val="24"/>
          <w:lang w:val="en-US" w:eastAsia="zh-CN"/>
        </w:rPr>
        <w:footnoteReference w:id="6"/>
      </w:r>
    </w:p>
    <w:p w:rsidR="00E91941" w:rsidRDefault="00E91941" w:rsidP="00E91941">
      <w:pPr>
        <w:spacing w:after="0" w:line="480" w:lineRule="auto"/>
        <w:ind w:left="426"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proses p</w:t>
      </w:r>
      <w:r>
        <w:rPr>
          <w:rFonts w:ascii="Times New Roman" w:hAnsi="Times New Roman" w:cs="Times New Roman"/>
          <w:color w:val="000000"/>
          <w:sz w:val="24"/>
          <w:szCs w:val="24"/>
        </w:rPr>
        <w:t>enyelesaian sengketa melalui arbitrase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Garuda Indonesia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Helice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Leasing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beberapa permasalahan.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asalah utama adalah terkait dengan pelaksanaan atau eksekusi putusan arbitrase.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Berdasarkan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latar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belakang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tersebut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tulisan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akan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membahas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tentang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deskriptif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normatif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mekanisme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khususnya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pada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kasus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antara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Garuda Indonesia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24"/>
          <w:szCs w:val="24"/>
          <w:lang w:val="en-US" w:eastAsia="zh-CN"/>
        </w:rPr>
        <w:t>Helice</w:t>
      </w:r>
      <w:proofErr w:type="spellEnd"/>
      <w:r>
        <w:rPr>
          <w:rFonts w:ascii="Times New Roman" w:eastAsia="SimSun" w:hAnsi="Times New Roman" w:cs="Times New Roman"/>
          <w:i/>
          <w:color w:val="000000"/>
          <w:sz w:val="24"/>
          <w:szCs w:val="24"/>
          <w:lang w:val="en-US" w:eastAsia="zh-CN"/>
        </w:rPr>
        <w:t xml:space="preserve"> Lessor S.A.S.</w:t>
      </w:r>
    </w:p>
    <w:p w:rsidR="00E91941" w:rsidRDefault="00E91941" w:rsidP="00E91941">
      <w:pPr>
        <w:spacing w:after="0" w:line="480" w:lineRule="auto"/>
        <w:ind w:left="426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Berdasarkan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pemaparan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diatas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Penulis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tertarik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untuk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meneliti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tentang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Penyelesaian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Sengketa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Internasional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Melalui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Arbitrase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Internasional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Studi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Kasus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Garuda Indonesia </w:t>
      </w:r>
      <w:proofErr w:type="spellStart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>dan</w:t>
      </w:r>
      <w:proofErr w:type="spellEnd"/>
      <w:r>
        <w:rPr>
          <w:rFonts w:ascii="Times New Roman" w:eastAsia="Times-Bold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Times-Bold" w:hAnsi="Times New Roman" w:cs="Times New Roman"/>
          <w:i/>
          <w:color w:val="000000"/>
          <w:sz w:val="24"/>
          <w:szCs w:val="24"/>
          <w:lang w:val="en-US" w:eastAsia="zh-CN"/>
        </w:rPr>
        <w:t>Helice</w:t>
      </w:r>
      <w:proofErr w:type="spellEnd"/>
      <w:r>
        <w:rPr>
          <w:rFonts w:ascii="Times New Roman" w:eastAsia="Times-Bold" w:hAnsi="Times New Roman" w:cs="Times New Roman"/>
          <w:i/>
          <w:color w:val="000000"/>
          <w:sz w:val="24"/>
          <w:szCs w:val="24"/>
          <w:lang w:val="en-US" w:eastAsia="zh-CN"/>
        </w:rPr>
        <w:t xml:space="preserve"> Leasing S.A.S</w:t>
      </w:r>
      <w:r>
        <w:rPr>
          <w:rFonts w:ascii="Times New Roman" w:eastAsia="Times-Bold" w:hAnsi="Times New Roman" w:cs="Times New Roman"/>
          <w:b/>
          <w:bCs/>
          <w:i/>
          <w:color w:val="000000"/>
          <w:sz w:val="24"/>
          <w:szCs w:val="24"/>
          <w:lang w:val="en-US" w:eastAsia="zh-CN"/>
        </w:rPr>
        <w:t>,</w:t>
      </w:r>
      <w:r>
        <w:rPr>
          <w:rFonts w:ascii="Times New Roman" w:eastAsia="Times-Bold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penilitian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/>
        </w:rPr>
        <w:t>depannya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gramEnd"/>
    </w:p>
    <w:p w:rsidR="00E91941" w:rsidRDefault="00E91941" w:rsidP="00E9194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Rumusan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Masalah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Berdasarkan uraian yang telah dipaparkan dalam latar belakang tersebut diatas, maka rumusan masalah dalam penelitian ini adalah :</w:t>
      </w:r>
    </w:p>
    <w:p w:rsidR="00E91941" w:rsidRDefault="00E91941" w:rsidP="00E91941">
      <w:pPr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Bagaimanakah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pengaturan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arbitrase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>?</w:t>
      </w:r>
    </w:p>
    <w:p w:rsidR="00E91941" w:rsidRDefault="00E91941" w:rsidP="00E91941">
      <w:pPr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eastAsia="serif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Bagaimanakah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serif" w:hAnsi="Times New Roman" w:cs="Times New Roman"/>
          <w:sz w:val="24"/>
          <w:szCs w:val="24"/>
        </w:rPr>
        <w:t>putusan</w:t>
      </w:r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arbitrase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Garuda Indonesia </w:t>
      </w:r>
      <w:proofErr w:type="spellStart"/>
      <w:r>
        <w:rPr>
          <w:rFonts w:ascii="Times New Roman" w:eastAsia="serif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serif" w:hAnsi="Times New Roman" w:cs="Times New Roman"/>
          <w:i/>
          <w:sz w:val="24"/>
          <w:szCs w:val="24"/>
          <w:lang w:val="en-US"/>
        </w:rPr>
        <w:t>Helice</w:t>
      </w:r>
      <w:proofErr w:type="spellEnd"/>
      <w:r>
        <w:rPr>
          <w:rFonts w:ascii="Times New Roman" w:eastAsia="serif" w:hAnsi="Times New Roman" w:cs="Times New Roman"/>
          <w:i/>
          <w:sz w:val="24"/>
          <w:szCs w:val="24"/>
          <w:lang w:val="en-US"/>
        </w:rPr>
        <w:t xml:space="preserve"> Lessor </w:t>
      </w:r>
      <w:proofErr w:type="gramStart"/>
      <w:r>
        <w:rPr>
          <w:rFonts w:ascii="Times New Roman" w:eastAsia="serif" w:hAnsi="Times New Roman" w:cs="Times New Roman"/>
          <w:i/>
          <w:sz w:val="24"/>
          <w:szCs w:val="24"/>
          <w:lang w:val="en-US"/>
        </w:rPr>
        <w:t>S.A.S</w:t>
      </w:r>
      <w:r>
        <w:rPr>
          <w:rFonts w:ascii="Times New Roman" w:eastAsia="serif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91941" w:rsidRPr="008B02CB" w:rsidRDefault="00E91941" w:rsidP="00E91941">
      <w:pPr>
        <w:spacing w:after="0" w:line="480" w:lineRule="auto"/>
        <w:jc w:val="both"/>
        <w:rPr>
          <w:rFonts w:ascii="Times New Roman" w:eastAsia="serif" w:hAnsi="Times New Roman" w:cs="Times New Roman"/>
          <w:sz w:val="24"/>
          <w:szCs w:val="24"/>
        </w:rPr>
      </w:pPr>
    </w:p>
    <w:p w:rsidR="00E91941" w:rsidRDefault="00E91941" w:rsidP="00E9194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Berdasarkan rumusan masalah yang telah dijabarkan diatas, adapun tujuan penelitian yang ingin dicapai yaitu :</w:t>
      </w:r>
    </w:p>
    <w:p w:rsidR="00E91941" w:rsidRDefault="00E91941" w:rsidP="00E91941">
      <w:pPr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arbitrase</w:t>
      </w:r>
      <w:proofErr w:type="spellEnd"/>
    </w:p>
    <w:p w:rsidR="00E91941" w:rsidRDefault="00E91941" w:rsidP="00E91941">
      <w:pPr>
        <w:numPr>
          <w:ilvl w:val="0"/>
          <w:numId w:val="4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putusan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melalui arbitrase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Garuda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Helice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Lessor S.A.S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arbitrase</w:t>
      </w:r>
      <w:proofErr w:type="spellEnd"/>
    </w:p>
    <w:p w:rsidR="00E91941" w:rsidRDefault="00E91941" w:rsidP="00E91941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91941" w:rsidRDefault="00E91941" w:rsidP="00E91941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valid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objektif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91941" w:rsidRDefault="00E91941" w:rsidP="00E91941">
      <w:pPr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</w:p>
    <w:p w:rsidR="00E91941" w:rsidRDefault="00E91941" w:rsidP="00E91941">
      <w:pPr>
        <w:spacing w:after="0" w:line="480" w:lineRule="auto"/>
        <w:ind w:left="709"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Jenis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penulisan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termasuk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ke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normatif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.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normatif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berarti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meletakkan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sebuah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bangunan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sistem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norma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r>
        <w:rPr>
          <w:rStyle w:val="FootnoteReference"/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footnoteReference w:id="7"/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normatif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kepustakaan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datanya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diperoleh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dari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mengkaji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bahan-bahan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pustaka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lazimnya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disebut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sebagai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data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sekunder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penulisan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ini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terdapat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beberapa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pendekatan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antara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lain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pendekatan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undang-undang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(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en-US" w:eastAsia="zh-CN"/>
        </w:rPr>
        <w:t>statute approach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),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pendekatan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kasus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(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en-US" w:eastAsia="zh-CN"/>
        </w:rPr>
        <w:t>case approach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).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Dalam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menganalisis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bahan-bahan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hukum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telah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diperoleh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dilakukan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dengan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teknik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deskripsi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teknik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evaluasi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.</w:t>
      </w:r>
      <w:proofErr w:type="gramEnd"/>
    </w:p>
    <w:p w:rsidR="00E91941" w:rsidRDefault="00E91941" w:rsidP="00E91941">
      <w:pPr>
        <w:numPr>
          <w:ilvl w:val="0"/>
          <w:numId w:val="5"/>
        </w:numPr>
        <w:spacing w:after="0" w:line="480" w:lineRule="auto"/>
        <w:ind w:left="709" w:hanging="28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Sumber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:rsidR="00E91941" w:rsidRDefault="00E91941" w:rsidP="00E91941">
      <w:pPr>
        <w:pStyle w:val="ListParagraph"/>
        <w:widowControl w:val="0"/>
        <w:autoSpaceDE w:val="0"/>
        <w:autoSpaceDN w:val="0"/>
        <w:spacing w:before="3" w:after="0"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digunakan dalam penelitian ini merupakan data sekunder, ialah data berupa dokumen ataupun buku-buku yang berhubungan dengan </w:t>
      </w:r>
      <w:r>
        <w:rPr>
          <w:rFonts w:ascii="Times New Roman" w:hAnsi="Times New Roman" w:cs="Times New Roman"/>
          <w:sz w:val="24"/>
          <w:szCs w:val="24"/>
        </w:rPr>
        <w:lastRenderedPageBreak/>
        <w:t>objek-objek riset, yang meliputi: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E91941" w:rsidRDefault="00E91941" w:rsidP="00E91941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Primer</w:t>
      </w:r>
    </w:p>
    <w:p w:rsidR="00E91941" w:rsidRDefault="00E91941" w:rsidP="00E91941">
      <w:pPr>
        <w:pStyle w:val="ListParagraph"/>
        <w:widowControl w:val="0"/>
        <w:tabs>
          <w:tab w:val="left" w:pos="1418"/>
        </w:tabs>
        <w:autoSpaceDE w:val="0"/>
        <w:autoSpaceDN w:val="0"/>
        <w:spacing w:after="0" w:line="480" w:lineRule="auto"/>
        <w:ind w:left="993" w:firstLine="426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Bahan Hukum Primer merupakan bahan-bahan yang mengikat semacam Undang-Undang serta putusan hakim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:rsidR="00E91941" w:rsidRDefault="00E91941" w:rsidP="00E91941">
      <w:pPr>
        <w:pStyle w:val="ListParagraph"/>
        <w:widowControl w:val="0"/>
        <w:tabs>
          <w:tab w:val="left" w:pos="1418"/>
        </w:tabs>
        <w:autoSpaceDE w:val="0"/>
        <w:autoSpaceDN w:val="0"/>
        <w:spacing w:after="0" w:line="480" w:lineRule="auto"/>
        <w:ind w:left="993" w:firstLine="426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Primer yang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:</w:t>
      </w:r>
      <w:proofErr w:type="gramEnd"/>
    </w:p>
    <w:p w:rsidR="00E91941" w:rsidRDefault="00E91941" w:rsidP="00E9194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480" w:lineRule="auto"/>
        <w:ind w:left="1276" w:hanging="283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</w:rPr>
        <w:t>Undang-Undang nomor 30 tahun 1999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Arbitrase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Sengketa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</w:p>
    <w:p w:rsidR="00E91941" w:rsidRDefault="00E91941" w:rsidP="00E9194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480" w:lineRule="auto"/>
        <w:ind w:left="1276" w:hanging="283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Konvensi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New York 1958</w:t>
      </w:r>
    </w:p>
    <w:p w:rsidR="00E91941" w:rsidRDefault="00E91941" w:rsidP="00E9194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480" w:lineRule="auto"/>
        <w:ind w:left="1276" w:hanging="283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Mahkamah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>Agung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R.I No.1/1990</w:t>
      </w:r>
    </w:p>
    <w:p w:rsidR="00E91941" w:rsidRDefault="00E91941" w:rsidP="00E91941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Sekunder</w:t>
      </w:r>
    </w:p>
    <w:p w:rsidR="00E91941" w:rsidRDefault="00E91941" w:rsidP="00E91941">
      <w:pPr>
        <w:pStyle w:val="ListParagraph"/>
        <w:widowControl w:val="0"/>
        <w:autoSpaceDE w:val="0"/>
        <w:autoSpaceDN w:val="0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 hukum sekunder merupakan bahan-bahan yang sangat erat kaitannya dengan bahan hukum primer berbentuk hasil riset semacam buku-buku serta harian yang berkaitan dengan permasalahan yang hendak diteliti.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Bahan hukum sekunder dapat diambil dari literatur, pendapat para sarjana hukum, buku-buku dan makalah-makalah, serta jurnal-jurnal yang relevan dengan judul ataupun penelitian terdahulu yang relevan dengan permasalahan yang sedang dikaji.</w:t>
      </w:r>
    </w:p>
    <w:p w:rsidR="00E91941" w:rsidRDefault="00E91941" w:rsidP="00E91941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Tersier</w:t>
      </w:r>
    </w:p>
    <w:p w:rsidR="00E91941" w:rsidRDefault="00E91941" w:rsidP="00E91941">
      <w:pPr>
        <w:pStyle w:val="ListParagraph"/>
        <w:widowControl w:val="0"/>
        <w:tabs>
          <w:tab w:val="left" w:pos="1418"/>
        </w:tabs>
        <w:autoSpaceDE w:val="0"/>
        <w:autoSpaceDN w:val="0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Bahan h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kum tersier ialah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bahan-bahan yang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membagikan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petunjuk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lewat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internet, yang berhubungan dengan riset ini dan kamus hukum. Bahan hukum tersier diambil dari bahan-bahan yang membantu </w:t>
      </w:r>
      <w:r>
        <w:rPr>
          <w:rFonts w:ascii="Times New Roman" w:hAnsi="Times New Roman" w:cs="Times New Roman"/>
          <w:sz w:val="24"/>
          <w:szCs w:val="24"/>
        </w:rPr>
        <w:lastRenderedPageBreak/>
        <w:t>dari bahan hukum primer dan sekunder, seperti Kamus dan Ensiklopedia hukum.</w:t>
      </w:r>
    </w:p>
    <w:p w:rsidR="00E91941" w:rsidRDefault="00E91941" w:rsidP="00E91941">
      <w:pPr>
        <w:numPr>
          <w:ilvl w:val="0"/>
          <w:numId w:val="8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</w:p>
    <w:p w:rsidR="00E91941" w:rsidRDefault="00E91941" w:rsidP="00E91941">
      <w:pPr>
        <w:spacing w:after="0" w:line="480" w:lineRule="auto"/>
        <w:ind w:left="720" w:firstLine="6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normatif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memakai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perlengkapan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menelusuri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memeriksa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mengkaji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data-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berbentuk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buku-buku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lain. 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0"/>
      </w:r>
    </w:p>
    <w:p w:rsidR="00E91941" w:rsidRDefault="00E91941" w:rsidP="00E91941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</w:p>
    <w:p w:rsidR="00E91941" w:rsidRDefault="00E91941" w:rsidP="00E91941">
      <w:pPr>
        <w:spacing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dipahami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menelusuri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perundang-undangan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dijabarkan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wujud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melainkan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wujud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uraian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kalimat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cocok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91941" w:rsidRDefault="00E91941" w:rsidP="00E91941">
      <w:pPr>
        <w:jc w:val="both"/>
      </w:pPr>
    </w:p>
    <w:p w:rsidR="00E91941" w:rsidRDefault="00E91941" w:rsidP="00E91941">
      <w:pPr>
        <w:jc w:val="both"/>
      </w:pPr>
      <w:r>
        <w:br w:type="page"/>
      </w:r>
    </w:p>
    <w:sectPr w:rsidR="00E91941" w:rsidSect="00E9194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06" w:rsidRDefault="00983906" w:rsidP="00E91941">
      <w:pPr>
        <w:spacing w:after="0" w:line="240" w:lineRule="auto"/>
      </w:pPr>
      <w:r>
        <w:separator/>
      </w:r>
    </w:p>
  </w:endnote>
  <w:endnote w:type="continuationSeparator" w:id="0">
    <w:p w:rsidR="00983906" w:rsidRDefault="00983906" w:rsidP="00E9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</w:font>
  <w:font w:name="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06" w:rsidRDefault="00983906" w:rsidP="00E91941">
      <w:pPr>
        <w:spacing w:after="0" w:line="240" w:lineRule="auto"/>
      </w:pPr>
      <w:r>
        <w:separator/>
      </w:r>
    </w:p>
  </w:footnote>
  <w:footnote w:type="continuationSeparator" w:id="0">
    <w:p w:rsidR="00983906" w:rsidRDefault="00983906" w:rsidP="00E91941">
      <w:pPr>
        <w:spacing w:after="0" w:line="240" w:lineRule="auto"/>
      </w:pPr>
      <w:r>
        <w:continuationSeparator/>
      </w:r>
    </w:p>
  </w:footnote>
  <w:footnote w:id="1">
    <w:p w:rsidR="00E91941" w:rsidRDefault="00E91941" w:rsidP="00E91941">
      <w:pPr>
        <w:pStyle w:val="FootnoteText"/>
        <w:spacing w:line="240" w:lineRule="auto"/>
        <w:ind w:right="-1" w:firstLine="720"/>
        <w:rPr>
          <w:rFonts w:ascii="Times New Roman" w:hAnsi="Times New Roman" w:cs="Times New Roman"/>
          <w:iCs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Al-Rodhan, R.F. Nayef and Gérard Stoudmann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Definitions of Globalization: A Comprehensive Overview and a Proposed Definition</w:t>
      </w:r>
      <w:r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lang w:val="en-US"/>
        </w:rPr>
        <w:t>hal</w:t>
      </w:r>
      <w:proofErr w:type="spellEnd"/>
      <w:r>
        <w:rPr>
          <w:rFonts w:ascii="Times New Roman" w:hAnsi="Times New Roman" w:cs="Times New Roman"/>
          <w:iCs/>
          <w:lang w:val="en-US"/>
        </w:rPr>
        <w:t>. 70</w:t>
      </w:r>
    </w:p>
  </w:footnote>
  <w:footnote w:id="2">
    <w:p w:rsidR="00E91941" w:rsidRDefault="00E91941" w:rsidP="00E91941">
      <w:pPr>
        <w:spacing w:line="240" w:lineRule="auto"/>
        <w:ind w:firstLineChars="366" w:firstLine="659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Jurnal Komunikasi Hukum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18"/>
          <w:szCs w:val="18"/>
          <w:lang w:val="en-US" w:eastAsia="zh-CN"/>
        </w:rPr>
        <w:t>Undiksha</w:t>
      </w:r>
      <w:proofErr w:type="spellEnd"/>
      <w:r>
        <w:rPr>
          <w:rFonts w:ascii="Times New Roman" w:eastAsia="Cambria" w:hAnsi="Times New Roman" w:cs="Times New Roman"/>
          <w:color w:val="808080"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(JKH),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2018, </w:t>
      </w:r>
      <w:r>
        <w:rPr>
          <w:rFonts w:ascii="Times New Roman" w:hAnsi="Times New Roman" w:cs="Times New Roman"/>
          <w:sz w:val="18"/>
          <w:szCs w:val="18"/>
        </w:rPr>
        <w:t>Volume 4 Nomor 2</w:t>
      </w:r>
    </w:p>
  </w:footnote>
  <w:footnote w:id="3">
    <w:p w:rsidR="00E91941" w:rsidRDefault="00E91941" w:rsidP="00E91941">
      <w:pPr>
        <w:pStyle w:val="FootnoteText"/>
        <w:spacing w:line="240" w:lineRule="auto"/>
        <w:ind w:right="-1"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Muhammad </w:t>
      </w:r>
      <w:r>
        <w:rPr>
          <w:rFonts w:ascii="Times New Roman" w:hAnsi="Times New Roman" w:cs="Times New Roman"/>
        </w:rPr>
        <w:t>Andriansyah,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Desember 2014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</w:rPr>
        <w:t>Pembatalan Putusan Arbitrase Nasional Oleh Pengadilan Negeri,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</w:rPr>
        <w:t>Jurnal Cita Hukum, Vol. 1 No. 2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n-US"/>
        </w:rPr>
        <w:t>hal</w:t>
      </w:r>
      <w:proofErr w:type="spellEnd"/>
      <w:r>
        <w:rPr>
          <w:rFonts w:ascii="Times New Roman" w:hAnsi="Times New Roman" w:cs="Times New Roman"/>
          <w:iCs/>
        </w:rPr>
        <w:t>. 332</w:t>
      </w:r>
    </w:p>
  </w:footnote>
  <w:footnote w:id="4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Gunawan </w:t>
      </w:r>
      <w:r>
        <w:rPr>
          <w:rFonts w:ascii="Times New Roman" w:hAnsi="Times New Roman" w:cs="Times New Roman"/>
        </w:rPr>
        <w:t xml:space="preserve">Widjaja - Ahmad Yani, 2003, </w:t>
      </w:r>
      <w:r>
        <w:rPr>
          <w:rFonts w:ascii="Times New Roman" w:hAnsi="Times New Roman" w:cs="Times New Roman"/>
          <w:i/>
          <w:iCs/>
        </w:rPr>
        <w:t xml:space="preserve"> Hukum Arbitrase</w:t>
      </w:r>
      <w:r>
        <w:rPr>
          <w:rFonts w:ascii="Times New Roman" w:hAnsi="Times New Roman" w:cs="Times New Roman"/>
        </w:rPr>
        <w:t xml:space="preserve">, PT. Raja Grafindo Persada : Jakarta,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1</w:t>
      </w:r>
    </w:p>
  </w:footnote>
  <w:footnote w:id="5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Putusan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Nomor Kutipan Netral</w:t>
      </w:r>
      <w:r>
        <w:rPr>
          <w:rFonts w:ascii="Times New Roman" w:hAnsi="Times New Roman" w:cs="Times New Roman"/>
          <w:lang w:val="en-US"/>
        </w:rPr>
        <w:t>, 2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</w:rPr>
        <w:t>EWHC 99 (Comm)</w:t>
      </w:r>
      <w:r>
        <w:rPr>
          <w:rFonts w:ascii="Times New Roman" w:hAnsi="Times New Roman" w:cs="Times New Roman"/>
          <w:lang w:val="en-US"/>
        </w:rPr>
        <w:t xml:space="preserve"> d</w:t>
      </w:r>
      <w:r>
        <w:rPr>
          <w:rFonts w:ascii="Times New Roman" w:hAnsi="Times New Roman" w:cs="Times New Roman"/>
        </w:rPr>
        <w:t>i Pengadilan Tinggi Divisi Bench Ratu Keadilan Pengadilan Umum</w:t>
      </w:r>
    </w:p>
  </w:footnote>
  <w:footnote w:id="6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Hualof</w:t>
      </w:r>
      <w:proofErr w:type="spellEnd"/>
      <w:r>
        <w:rPr>
          <w:rFonts w:ascii="Times New Roman" w:hAnsi="Times New Roman" w:cs="Times New Roman"/>
          <w:lang w:val="en-US"/>
        </w:rPr>
        <w:t xml:space="preserve"> Adolf</w:t>
      </w:r>
      <w:proofErr w:type="gramStart"/>
      <w:r>
        <w:rPr>
          <w:rFonts w:ascii="Times New Roman" w:hAnsi="Times New Roman" w:cs="Times New Roman"/>
          <w:lang w:val="en-US"/>
        </w:rPr>
        <w:t>,  2019</w:t>
      </w:r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Hukum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Peyelesaian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Sengketa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Internasiona</w:t>
      </w:r>
      <w:r>
        <w:rPr>
          <w:rFonts w:ascii="Times New Roman" w:hAnsi="Times New Roman" w:cs="Times New Roman"/>
          <w:lang w:val="en-US"/>
        </w:rPr>
        <w:t>l</w:t>
      </w:r>
      <w:proofErr w:type="spellEnd"/>
      <w:r>
        <w:rPr>
          <w:rFonts w:ascii="Times New Roman" w:hAnsi="Times New Roman" w:cs="Times New Roman"/>
          <w:lang w:val="en-US"/>
        </w:rPr>
        <w:t xml:space="preserve">, Raja </w:t>
      </w:r>
      <w:proofErr w:type="spellStart"/>
      <w:r>
        <w:rPr>
          <w:rFonts w:ascii="Times New Roman" w:hAnsi="Times New Roman" w:cs="Times New Roman"/>
          <w:lang w:val="en-US"/>
        </w:rPr>
        <w:t>Grafindo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Persada</w:t>
      </w:r>
      <w:proofErr w:type="spellEnd"/>
      <w:r>
        <w:rPr>
          <w:rFonts w:ascii="Times New Roman" w:hAnsi="Times New Roman" w:cs="Times New Roman"/>
          <w:lang w:val="en-US"/>
        </w:rPr>
        <w:t xml:space="preserve"> : Jakarta, Hal. 107</w:t>
      </w:r>
    </w:p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</w:p>
  </w:footnote>
  <w:footnote w:id="7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Soerjono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Soekanto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Sri </w:t>
      </w:r>
      <w:proofErr w:type="spellStart"/>
      <w:r>
        <w:rPr>
          <w:rFonts w:ascii="Times New Roman" w:hAnsi="Times New Roman" w:cs="Times New Roman"/>
          <w:lang w:val="en-US"/>
        </w:rPr>
        <w:t>Mamudji</w:t>
      </w:r>
      <w:proofErr w:type="spellEnd"/>
      <w:r>
        <w:rPr>
          <w:rFonts w:ascii="Times New Roman" w:hAnsi="Times New Roman" w:cs="Times New Roman"/>
          <w:lang w:val="en-US"/>
        </w:rPr>
        <w:t xml:space="preserve">, 2001,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Hukum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en-US"/>
        </w:rPr>
        <w:t>Normatif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Suatu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Tinjauan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Singkat</w:t>
      </w:r>
      <w:proofErr w:type="spellEnd"/>
      <w:r>
        <w:rPr>
          <w:rFonts w:ascii="Times New Roman" w:hAnsi="Times New Roman" w:cs="Times New Roman"/>
          <w:lang w:val="en-US"/>
        </w:rPr>
        <w:t xml:space="preserve"> (Jakarta, Raja </w:t>
      </w:r>
      <w:proofErr w:type="spellStart"/>
      <w:r>
        <w:rPr>
          <w:rFonts w:ascii="Times New Roman" w:hAnsi="Times New Roman" w:cs="Times New Roman"/>
          <w:lang w:val="en-US"/>
        </w:rPr>
        <w:t>Grafindo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Persada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>. 1-2</w:t>
      </w:r>
    </w:p>
  </w:footnote>
  <w:footnote w:id="8">
    <w:p w:rsidR="00E91941" w:rsidRDefault="00E91941" w:rsidP="00E91941">
      <w:pPr>
        <w:pStyle w:val="FootnoteText"/>
        <w:spacing w:line="240" w:lineRule="auto"/>
        <w:ind w:left="440" w:firstLine="269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Zainudin Ali, 2013, </w:t>
      </w:r>
      <w:r>
        <w:rPr>
          <w:rFonts w:ascii="Times New Roman" w:hAnsi="Times New Roman" w:cs="Times New Roman"/>
          <w:i/>
          <w:iCs/>
        </w:rPr>
        <w:t>Undang-Undang Riset Hukum</w:t>
      </w:r>
      <w:r>
        <w:rPr>
          <w:rFonts w:ascii="Times New Roman" w:hAnsi="Times New Roman" w:cs="Times New Roman"/>
        </w:rPr>
        <w:t xml:space="preserve">, Sinar Graphic, Jakarta,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106</w:t>
      </w:r>
    </w:p>
  </w:footnote>
  <w:footnote w:id="9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Peter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Mahmud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Marzuki,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2005,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</w:rPr>
        <w:t>Penelitian</w:t>
      </w:r>
      <w:r>
        <w:rPr>
          <w:rFonts w:ascii="Times New Roman" w:hAnsi="Times New Roman" w:cs="Times New Roman"/>
          <w:i/>
          <w:spacing w:val="40"/>
        </w:rPr>
        <w:t xml:space="preserve"> </w:t>
      </w:r>
      <w:r>
        <w:rPr>
          <w:rFonts w:ascii="Times New Roman" w:hAnsi="Times New Roman" w:cs="Times New Roman"/>
          <w:i/>
        </w:rPr>
        <w:t>Hukum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Kencana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Prenada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Media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 xml:space="preserve">Group, Jakarta, </w:t>
      </w: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3</w:t>
      </w:r>
    </w:p>
  </w:footnote>
  <w:footnote w:id="10">
    <w:p w:rsidR="00E91941" w:rsidRDefault="00E91941" w:rsidP="00E91941">
      <w:pPr>
        <w:pStyle w:val="FootnoteText"/>
        <w:spacing w:line="240" w:lineRule="auto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Suteki, </w:t>
      </w:r>
      <w:r>
        <w:rPr>
          <w:rFonts w:ascii="Times New Roman" w:hAnsi="Times New Roman" w:cs="Times New Roman"/>
        </w:rPr>
        <w:t xml:space="preserve">Galang Taufani, 2018, </w:t>
      </w:r>
      <w:r>
        <w:rPr>
          <w:rFonts w:ascii="Times New Roman" w:hAnsi="Times New Roman" w:cs="Times New Roman"/>
          <w:i/>
        </w:rPr>
        <w:t xml:space="preserve">Metodologi Penelitian Hukum Philosophie, Theorie Und Praxi), Rajawali Pers, Depok, </w:t>
      </w:r>
      <w:proofErr w:type="spellStart"/>
      <w:r>
        <w:rPr>
          <w:rFonts w:ascii="Times New Roman" w:hAnsi="Times New Roman" w:cs="Times New Roman"/>
          <w:iCs/>
          <w:lang w:val="en-US"/>
        </w:rPr>
        <w:t>hal</w:t>
      </w:r>
      <w:proofErr w:type="spellEnd"/>
      <w:r>
        <w:rPr>
          <w:rFonts w:ascii="Times New Roman" w:hAnsi="Times New Roman" w:cs="Times New Roman"/>
          <w:iCs/>
        </w:rPr>
        <w:t>. 217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E4"/>
    <w:multiLevelType w:val="multilevel"/>
    <w:tmpl w:val="0D0C37E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402EB4"/>
    <w:multiLevelType w:val="multilevel"/>
    <w:tmpl w:val="17402EB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DF61A3"/>
    <w:multiLevelType w:val="multilevel"/>
    <w:tmpl w:val="2EDF61A3"/>
    <w:lvl w:ilvl="0">
      <w:start w:val="1"/>
      <w:numFmt w:val="decimal"/>
      <w:lvlText w:val="%1.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39BE71E2"/>
    <w:multiLevelType w:val="multilevel"/>
    <w:tmpl w:val="39BE71E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452D30"/>
    <w:multiLevelType w:val="multilevel"/>
    <w:tmpl w:val="41452D30"/>
    <w:lvl w:ilvl="0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1867"/>
    <w:multiLevelType w:val="multilevel"/>
    <w:tmpl w:val="65B51867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F31B4"/>
    <w:multiLevelType w:val="multilevel"/>
    <w:tmpl w:val="6E3F31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9C2FD9"/>
    <w:multiLevelType w:val="multilevel"/>
    <w:tmpl w:val="7D9C2FD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41"/>
    <w:rsid w:val="00983906"/>
    <w:rsid w:val="00D13E3B"/>
    <w:rsid w:val="00E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qFormat/>
    <w:rsid w:val="00E919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E919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9194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91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qFormat/>
    <w:rsid w:val="00E919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E91941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9194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9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2023-09-11T08:22:00Z</dcterms:created>
  <dcterms:modified xsi:type="dcterms:W3CDTF">2023-09-11T08:23:00Z</dcterms:modified>
</cp:coreProperties>
</file>