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35" w:rsidRDefault="00430F35" w:rsidP="00430F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BAB IV</w:t>
      </w:r>
    </w:p>
    <w:p w:rsidR="00430F35" w:rsidRPr="004E734B" w:rsidRDefault="00430F35" w:rsidP="00430F3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PENUTUP</w:t>
      </w:r>
    </w:p>
    <w:p w:rsidR="00430F35" w:rsidRDefault="00430F35" w:rsidP="00430F35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S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impulan</w:t>
      </w:r>
      <w:proofErr w:type="spellEnd"/>
    </w:p>
    <w:p w:rsidR="00430F35" w:rsidRDefault="00430F35" w:rsidP="00430F35">
      <w:pPr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arbitrase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non-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litigasi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r w:rsidRPr="00E86DC6">
        <w:rPr>
          <w:rFonts w:ascii="Times New Roman" w:hAnsi="Times New Roman" w:cs="Times New Roman"/>
          <w:i/>
          <w:sz w:val="24"/>
          <w:szCs w:val="24"/>
          <w:lang w:val="en-US" w:eastAsia="zh-CN"/>
        </w:rPr>
        <w:t>The Hague Convention for the Pacific Settlement of International Dispute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1899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1907),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13 </w:t>
      </w:r>
      <w:r w:rsidRPr="00E86DC6">
        <w:rPr>
          <w:rFonts w:ascii="Times New Roman" w:hAnsi="Times New Roman" w:cs="Times New Roman"/>
          <w:i/>
          <w:sz w:val="24"/>
          <w:szCs w:val="24"/>
          <w:lang w:val="en-US" w:eastAsia="zh-CN"/>
        </w:rPr>
        <w:t>Covenant of the League of Nations.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Konvenan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, </w:t>
      </w:r>
      <w:r w:rsidRPr="00E86DC6">
        <w:rPr>
          <w:rFonts w:ascii="Times New Roman" w:hAnsi="Times New Roman" w:cs="Times New Roman"/>
          <w:i/>
          <w:sz w:val="24"/>
          <w:szCs w:val="24"/>
          <w:lang w:val="en-US" w:eastAsia="zh-CN"/>
        </w:rPr>
        <w:t>The General Act for the Settlement of International Dispute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26 September 1928,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33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Piagam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PBB, </w:t>
      </w:r>
      <w:r w:rsidRPr="00E86DC6">
        <w:rPr>
          <w:rFonts w:ascii="Times New Roman" w:hAnsi="Times New Roman" w:cs="Times New Roman"/>
          <w:i/>
          <w:sz w:val="24"/>
          <w:szCs w:val="24"/>
          <w:lang w:val="en-US" w:eastAsia="zh-CN"/>
        </w:rPr>
        <w:t>The UN Model on Arbitration Procedure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arbitrase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mengakui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ditandatangani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pengadilan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mengarahkan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arbitrase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Konvensi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Perserikatan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Bangsa-Bangsa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1958.</w:t>
      </w:r>
    </w:p>
    <w:p w:rsidR="00430F35" w:rsidRDefault="00430F35" w:rsidP="00430F35">
      <w:pPr>
        <w:numPr>
          <w:ilvl w:val="0"/>
          <w:numId w:val="2"/>
        </w:numPr>
        <w:spacing w:line="480" w:lineRule="auto"/>
        <w:jc w:val="both"/>
        <w:rPr>
          <w:rFonts w:ascii="Times New Roman" w:eastAsia="sans-serif" w:hAnsi="Times New Roman" w:cs="Times New Roman"/>
          <w:sz w:val="24"/>
          <w:szCs w:val="24"/>
          <w:lang w:val="en-US" w:eastAsia="zh-C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Garuda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 w:eastAsia="zh-CN"/>
        </w:rPr>
        <w:t>Helice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 w:eastAsia="zh-CN"/>
        </w:rPr>
        <w:t xml:space="preserve"> Lessin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g,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pengadilan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alternatif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bersengketa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sepakat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arbitrase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Garuda Indonesia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harus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menerima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kekalahan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dalam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kasus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gugatan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pembayaran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uang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sewa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pesawat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salah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satu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perusahaan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penyewa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pesawat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(lessor) di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Pengadilan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Arbitrase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lastRenderedPageBreak/>
        <w:t>Internasional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London (</w:t>
      </w:r>
      <w:r>
        <w:rPr>
          <w:rFonts w:ascii="Times New Roman" w:eastAsia="sans-serif" w:hAnsi="Times New Roman" w:cs="Times New Roman"/>
          <w:i/>
          <w:iCs/>
          <w:sz w:val="24"/>
          <w:szCs w:val="24"/>
          <w:lang w:val="en-US" w:eastAsia="zh-CN"/>
        </w:rPr>
        <w:t>London Court International Arbitration/LCIA</w:t>
      </w:r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).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Dimana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Putusan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Arbitrase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tersebut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dijatuhkan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kepada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GIAA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untuk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melakukan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pembayaran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atas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sewa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pesawat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dan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kewajiban-kewajiban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berdasarkan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perjanjian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sewa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pesawat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pembayaran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bunga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keterlambatan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serta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pembayaran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biaya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perkara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penggugat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Pada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akhirnya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kedua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belah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pihak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harus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bisa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menerima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hasil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putusan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arbitrase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internasional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ini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karena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sedari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awal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sebelum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mekanisme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pelaksanaan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arbitrase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ini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dimulai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kedua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belah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pihak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sudah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saling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sepakat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akan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mengikuti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semua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prosedur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telah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disesuaikan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sumber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proofErr w:type="gram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hukum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internasional</w:t>
      </w:r>
      <w:proofErr w:type="spellEnd"/>
      <w:proofErr w:type="gram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mengenai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penggunaan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arbitrase</w:t>
      </w:r>
      <w:proofErr w:type="spellEnd"/>
      <w:r>
        <w:rPr>
          <w:rFonts w:ascii="Times New Roman" w:eastAsia="sans-serif" w:hAnsi="Times New Roman" w:cs="Times New Roman"/>
          <w:sz w:val="24"/>
          <w:szCs w:val="24"/>
          <w:lang w:val="en-US" w:eastAsia="zh-CN"/>
        </w:rPr>
        <w:t>.</w:t>
      </w:r>
    </w:p>
    <w:p w:rsidR="00430F35" w:rsidRDefault="00430F35" w:rsidP="00430F35">
      <w:pPr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zh-CN"/>
        </w:rPr>
        <w:t>Saran</w:t>
      </w:r>
    </w:p>
    <w:p w:rsidR="00430F35" w:rsidRDefault="00430F35" w:rsidP="00430F3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Arbitrase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Garuda Indonesia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Helice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Leasing S.A.S),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:</w:t>
      </w:r>
      <w:proofErr w:type="gramEnd"/>
    </w:p>
    <w:p w:rsidR="00430F35" w:rsidRDefault="00430F35" w:rsidP="00430F35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menyikapi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penggugat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selektif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tuntutan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sengketakan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Garuda Indonesia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Helice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Leasing S.A.S,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bilateral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berimplikasi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tehadap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lastRenderedPageBreak/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pemersatu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negara-negara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sengketa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menghindari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berkelanjutan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 w:eastAsia="zh-CN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zh-CN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zh-CN"/>
        </w:rPr>
        <w:t>.</w:t>
      </w:r>
    </w:p>
    <w:p w:rsidR="00430F35" w:rsidRPr="00E86DC6" w:rsidRDefault="00430F35" w:rsidP="00430F35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Diharapkan para pihak menjalankan keputusan arbitrase internasional dengan sebaik baiknya.</w:t>
      </w:r>
    </w:p>
    <w:p w:rsidR="00430F35" w:rsidRDefault="00430F35" w:rsidP="00430F35">
      <w:pPr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Diharapkan menjalankan perusahaan managemennya lebih baik lagi</w:t>
      </w:r>
    </w:p>
    <w:p w:rsidR="00D13E3B" w:rsidRDefault="00D13E3B">
      <w:bookmarkStart w:id="0" w:name="_GoBack"/>
      <w:bookmarkEnd w:id="0"/>
    </w:p>
    <w:sectPr w:rsidR="00D13E3B" w:rsidSect="00430F35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DAD4B2"/>
    <w:multiLevelType w:val="singleLevel"/>
    <w:tmpl w:val="83DAD4B2"/>
    <w:lvl w:ilvl="0">
      <w:start w:val="1"/>
      <w:numFmt w:val="decimal"/>
      <w:lvlText w:val="%1."/>
      <w:lvlJc w:val="left"/>
      <w:pPr>
        <w:tabs>
          <w:tab w:val="left" w:pos="1265"/>
        </w:tabs>
        <w:ind w:left="1265" w:hanging="425"/>
      </w:pPr>
      <w:rPr>
        <w:rFonts w:hint="default"/>
      </w:rPr>
    </w:lvl>
  </w:abstractNum>
  <w:abstractNum w:abstractNumId="1">
    <w:nsid w:val="33A5A526"/>
    <w:multiLevelType w:val="singleLevel"/>
    <w:tmpl w:val="33A5A526"/>
    <w:lvl w:ilvl="0">
      <w:start w:val="1"/>
      <w:numFmt w:val="upp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6381BFB1"/>
    <w:multiLevelType w:val="singleLevel"/>
    <w:tmpl w:val="6381BFB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35"/>
    <w:rsid w:val="00430F35"/>
    <w:rsid w:val="00D1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2023-09-11T08:23:00Z</dcterms:created>
  <dcterms:modified xsi:type="dcterms:W3CDTF">2023-09-11T08:24:00Z</dcterms:modified>
</cp:coreProperties>
</file>