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374" w:rsidRDefault="00FC1B41" w:rsidP="00510B83">
      <w:pPr>
        <w:jc w:val="both"/>
        <w:rPr>
          <w:b/>
        </w:rPr>
      </w:pPr>
      <w:r>
        <w:rPr>
          <w:b/>
        </w:rPr>
        <w:t xml:space="preserve">PENGARUH </w:t>
      </w:r>
      <w:r>
        <w:rPr>
          <w:b/>
          <w:i/>
        </w:rPr>
        <w:t xml:space="preserve">DEBT COVENANT, GROWTH OPPORTUNITIES, </w:t>
      </w:r>
      <w:r>
        <w:rPr>
          <w:b/>
        </w:rPr>
        <w:t>UKURAN PERUSAHAAN DAN RISIKO LITIGASI TERHADAP PENERAPAN KONSERVATISME AKUNTANSI</w:t>
      </w:r>
    </w:p>
    <w:p w:rsidR="00FC1B41" w:rsidRDefault="00FC1B41">
      <w:pPr>
        <w:rPr>
          <w:b/>
        </w:rPr>
      </w:pPr>
      <w:r>
        <w:rPr>
          <w:b/>
        </w:rPr>
        <w:t>Oleh</w:t>
      </w:r>
      <w:r>
        <w:rPr>
          <w:b/>
        </w:rPr>
        <w:tab/>
      </w:r>
      <w:r>
        <w:rPr>
          <w:b/>
        </w:rPr>
        <w:tab/>
        <w:t>: NANING LESTIA</w:t>
      </w:r>
    </w:p>
    <w:p w:rsidR="00FC1B41" w:rsidRDefault="00FC1B41" w:rsidP="00D650B9">
      <w:pPr>
        <w:spacing w:after="0"/>
      </w:pPr>
      <w:r>
        <w:t>Pembimbing</w:t>
      </w:r>
      <w:r>
        <w:tab/>
        <w:t>: Herawati, S.E., M.Si., Ak., CA</w:t>
      </w:r>
    </w:p>
    <w:p w:rsidR="00EC48F5" w:rsidRDefault="00EC48F5" w:rsidP="009F666E">
      <w:pPr>
        <w:spacing w:after="0" w:line="360" w:lineRule="auto"/>
      </w:pPr>
      <w:r>
        <w:tab/>
      </w:r>
      <w:r>
        <w:tab/>
        <w:t xml:space="preserve">  Novia Rahmawati SE., M.Si</w:t>
      </w:r>
    </w:p>
    <w:p w:rsidR="008904C0" w:rsidRDefault="008904C0" w:rsidP="008904C0">
      <w:pPr>
        <w:spacing w:after="0" w:line="240" w:lineRule="auto"/>
      </w:pPr>
    </w:p>
    <w:p w:rsidR="00FC1B41" w:rsidRDefault="00FC1B41" w:rsidP="00B86C06">
      <w:pPr>
        <w:spacing w:after="0" w:line="240" w:lineRule="auto"/>
        <w:rPr>
          <w:b/>
        </w:rPr>
      </w:pPr>
      <w:r w:rsidRPr="00FC1B41">
        <w:rPr>
          <w:b/>
        </w:rPr>
        <w:t>INTISARI</w:t>
      </w:r>
    </w:p>
    <w:p w:rsidR="00B86C06" w:rsidRPr="00B86C06" w:rsidRDefault="00B86C06" w:rsidP="00B86C06">
      <w:pPr>
        <w:spacing w:after="0" w:line="240" w:lineRule="auto"/>
        <w:rPr>
          <w:b/>
        </w:rPr>
      </w:pPr>
    </w:p>
    <w:p w:rsidR="00B86C06" w:rsidRDefault="00563F81" w:rsidP="00A43F83">
      <w:pPr>
        <w:jc w:val="both"/>
      </w:pPr>
      <w:r>
        <w:t xml:space="preserve">Penelitian ini bertujuan untuk membuktikan secara empiris pengaruh </w:t>
      </w:r>
      <w:r>
        <w:rPr>
          <w:i/>
        </w:rPr>
        <w:t xml:space="preserve">debt covenant, growth opportunities, </w:t>
      </w:r>
      <w:r>
        <w:t>ukuran perusahaan dan risiko litigasi terhadap penerapan konservatisme akuntansi</w:t>
      </w:r>
      <w:r w:rsidR="00757EB4">
        <w:t xml:space="preserve">. </w:t>
      </w:r>
      <w:r w:rsidR="00B86C06">
        <w:t>Penelitian ini modifikasi dari penelitian Susanto dan Tiara (2016), Susilo dan Jundi (2017) serta Sulastiningsih dan Jaza (2017).</w:t>
      </w:r>
    </w:p>
    <w:p w:rsidR="00563F81" w:rsidRDefault="00757EB4" w:rsidP="00A43F83">
      <w:pPr>
        <w:jc w:val="both"/>
      </w:pPr>
      <w:r>
        <w:t>Penelitian ini menggunakan teori keagenan</w:t>
      </w:r>
      <w:r w:rsidR="00DC008D">
        <w:t xml:space="preserve"> yang menjelaskan suatu kontrak antara </w:t>
      </w:r>
      <w:r w:rsidR="00DC008D">
        <w:rPr>
          <w:i/>
        </w:rPr>
        <w:t xml:space="preserve">principal </w:t>
      </w:r>
      <w:r w:rsidR="00DC008D">
        <w:t xml:space="preserve">(pemilik) dan </w:t>
      </w:r>
      <w:r w:rsidR="00DC008D">
        <w:rPr>
          <w:i/>
        </w:rPr>
        <w:t xml:space="preserve">agent </w:t>
      </w:r>
      <w:r w:rsidR="00DC008D">
        <w:t>(manajer) dimana pemilik dan pengelola sama-sama melakuk</w:t>
      </w:r>
      <w:r w:rsidR="00BD761D">
        <w:t xml:space="preserve">an pemaksimuman kesejahteraan. </w:t>
      </w:r>
      <w:r w:rsidR="00D77656">
        <w:t xml:space="preserve">Pendelegasian wewenang tersebut yang menimbulkan masalah keagenan yaitu </w:t>
      </w:r>
      <w:r w:rsidR="00C34399">
        <w:t xml:space="preserve">ketidaksejajaran kepentingan antara </w:t>
      </w:r>
      <w:r w:rsidR="00C34399">
        <w:rPr>
          <w:i/>
        </w:rPr>
        <w:t xml:space="preserve">principal </w:t>
      </w:r>
      <w:r w:rsidR="00C34399">
        <w:t xml:space="preserve">dan </w:t>
      </w:r>
      <w:r w:rsidR="00C34399" w:rsidRPr="00C34399">
        <w:rPr>
          <w:i/>
        </w:rPr>
        <w:t>agent</w:t>
      </w:r>
      <w:r w:rsidR="00C5709F">
        <w:rPr>
          <w:i/>
        </w:rPr>
        <w:t xml:space="preserve">, </w:t>
      </w:r>
      <w:r w:rsidR="00C5709F">
        <w:t xml:space="preserve">dengan kata lain </w:t>
      </w:r>
      <w:r w:rsidR="00C5709F">
        <w:rPr>
          <w:i/>
        </w:rPr>
        <w:t xml:space="preserve">principal </w:t>
      </w:r>
      <w:r w:rsidR="00C5709F">
        <w:t xml:space="preserve">memberikan amanah kepada </w:t>
      </w:r>
      <w:r w:rsidR="00C5709F">
        <w:rPr>
          <w:i/>
        </w:rPr>
        <w:t xml:space="preserve">agent </w:t>
      </w:r>
      <w:r w:rsidR="00C5709F">
        <w:t>untuk melaksanakan tugas dan pengambilan keputusan.</w:t>
      </w:r>
    </w:p>
    <w:p w:rsidR="00C5709F" w:rsidRDefault="00C5709F" w:rsidP="00A43F83">
      <w:pPr>
        <w:jc w:val="both"/>
      </w:pPr>
      <w:r>
        <w:t xml:space="preserve">Penelitian ini menggunakan populasi dari perusahaan manufaktur yang terdaftar di Bursa Efek Indonesia tahun 2012 sampai 2016. Teknik pengambilan sampel menggunakan metode </w:t>
      </w:r>
      <w:r>
        <w:rPr>
          <w:i/>
        </w:rPr>
        <w:t xml:space="preserve">purpossive sampling, </w:t>
      </w:r>
      <w:r>
        <w:t>yaitu metode pengambilan sampel menggunakan kriteria tertentu, dengan sampel penelitian sebanyak 29</w:t>
      </w:r>
      <w:r w:rsidR="00F14CDA">
        <w:t xml:space="preserve"> perusahaan.</w:t>
      </w:r>
    </w:p>
    <w:p w:rsidR="00F14CDA" w:rsidRDefault="00F14CDA" w:rsidP="00BA1166">
      <w:pPr>
        <w:jc w:val="both"/>
      </w:pPr>
      <w:r>
        <w:t xml:space="preserve">Hasil penelitian menunjukkan bahwa </w:t>
      </w:r>
      <w:r>
        <w:rPr>
          <w:i/>
        </w:rPr>
        <w:t xml:space="preserve">debt covenant </w:t>
      </w:r>
      <w:r w:rsidR="008904C0">
        <w:t xml:space="preserve">berpengaruh negatif dan </w:t>
      </w:r>
      <w:r>
        <w:t xml:space="preserve">variabel </w:t>
      </w:r>
      <w:r>
        <w:rPr>
          <w:i/>
        </w:rPr>
        <w:t xml:space="preserve">growth opportunities </w:t>
      </w:r>
      <w:r w:rsidR="00F00B25">
        <w:t>berpengaruh positif terhadap penerapan konservatisme akuntansi. Sedangkan variabel ukuran perusahaan dan risiko litigasi tidak berpengaruh terhadap penerapan konservatisme akuntansi.</w:t>
      </w:r>
      <w:r w:rsidR="005423A5">
        <w:t xml:space="preserve"> </w:t>
      </w:r>
      <w:r w:rsidR="00B22E07">
        <w:t>Pada penelitian ini hanya ada empat variabel yag ditelit</w:t>
      </w:r>
      <w:r w:rsidR="00BA1166">
        <w:t xml:space="preserve">i. Untuk penelitian selanjutnya </w:t>
      </w:r>
      <w:r w:rsidR="00B22E07">
        <w:t xml:space="preserve">disarankan </w:t>
      </w:r>
      <w:r w:rsidR="00286AAC">
        <w:t>menggunakan</w:t>
      </w:r>
      <w:r w:rsidR="00B46A9F">
        <w:t xml:space="preserve"> variabel lain untuk melihat pengaruhnya terhadap penerapan konservatisme akuntansi.</w:t>
      </w:r>
      <w:r w:rsidR="00BA1166">
        <w:t xml:space="preserve"> V</w:t>
      </w:r>
      <w:r w:rsidR="00AE12A6">
        <w:t>ariabel lain y</w:t>
      </w:r>
      <w:r w:rsidR="00BA1166">
        <w:t xml:space="preserve">ang dapat digunakan antara lain struktur modal, konflik kepentingan, struktur kepemilikan atau variabel lainnya yang termasuk dalam </w:t>
      </w:r>
      <w:r w:rsidR="00BA1166">
        <w:rPr>
          <w:i/>
        </w:rPr>
        <w:t>coorporate governance</w:t>
      </w:r>
      <w:r w:rsidR="00BA1166">
        <w:t>.</w:t>
      </w:r>
    </w:p>
    <w:p w:rsidR="00D77656" w:rsidRDefault="00BA1166" w:rsidP="00BD761D">
      <w:pPr>
        <w:ind w:left="1418" w:hanging="1418"/>
        <w:jc w:val="both"/>
        <w:rPr>
          <w:b/>
        </w:rPr>
      </w:pPr>
      <w:r w:rsidRPr="00BA1166">
        <w:rPr>
          <w:b/>
        </w:rPr>
        <w:t xml:space="preserve">Kata Kunci: Konservatisme Akuntansi, </w:t>
      </w:r>
      <w:r w:rsidRPr="00BA1166">
        <w:rPr>
          <w:b/>
          <w:i/>
        </w:rPr>
        <w:t xml:space="preserve">Debt Covenant, Growth Opportunities, </w:t>
      </w:r>
      <w:r w:rsidRPr="00BA1166">
        <w:rPr>
          <w:b/>
        </w:rPr>
        <w:t>Ukuran Perusahaan</w:t>
      </w:r>
      <w:r w:rsidRPr="00BA1166">
        <w:rPr>
          <w:b/>
          <w:i/>
        </w:rPr>
        <w:t>,</w:t>
      </w:r>
      <w:r w:rsidRPr="00BA1166">
        <w:rPr>
          <w:b/>
        </w:rPr>
        <w:t xml:space="preserve"> Risiko litigasi</w:t>
      </w:r>
      <w:r>
        <w:rPr>
          <w:b/>
        </w:rPr>
        <w:t>.</w:t>
      </w:r>
    </w:p>
    <w:p w:rsidR="00B86C06" w:rsidRDefault="00B86C06" w:rsidP="00BD761D">
      <w:pPr>
        <w:ind w:left="1418" w:hanging="1418"/>
        <w:jc w:val="both"/>
        <w:rPr>
          <w:b/>
        </w:rPr>
      </w:pPr>
    </w:p>
    <w:p w:rsidR="00B86C06" w:rsidRDefault="00B86C06" w:rsidP="00BD761D">
      <w:pPr>
        <w:ind w:left="1418" w:hanging="1418"/>
        <w:jc w:val="both"/>
        <w:rPr>
          <w:b/>
        </w:rPr>
      </w:pPr>
    </w:p>
    <w:p w:rsidR="00B86C06" w:rsidRDefault="00B86C06" w:rsidP="00BD761D">
      <w:pPr>
        <w:ind w:left="1418" w:hanging="1418"/>
        <w:jc w:val="both"/>
        <w:rPr>
          <w:b/>
        </w:rPr>
      </w:pPr>
    </w:p>
    <w:p w:rsidR="00B86C06" w:rsidRPr="004A7B98" w:rsidRDefault="00B86C06" w:rsidP="00B86C06">
      <w:pPr>
        <w:jc w:val="both"/>
        <w:rPr>
          <w:rFonts w:cs="Times New Roman"/>
          <w:b/>
          <w:i/>
          <w:lang w:val="en-US"/>
        </w:rPr>
      </w:pPr>
      <w:r w:rsidRPr="004A7B98">
        <w:rPr>
          <w:rFonts w:cs="Times New Roman"/>
          <w:b/>
          <w:i/>
          <w:lang w:val="en-US"/>
        </w:rPr>
        <w:lastRenderedPageBreak/>
        <w:t>THE EFFECT OF DEBT COVENANT, GROWTH OPPORTUNITIES, COMPANY SIZE AND LITIGATION RISK ON THE APPLICATION OF ACCOUNTING CONSERVATISM</w:t>
      </w:r>
    </w:p>
    <w:p w:rsidR="00B86C06" w:rsidRPr="004A7B98" w:rsidRDefault="00B86C06" w:rsidP="00B86C06">
      <w:pPr>
        <w:spacing w:before="240" w:line="360" w:lineRule="auto"/>
        <w:rPr>
          <w:rFonts w:cs="Times New Roman"/>
          <w:b/>
          <w:i/>
        </w:rPr>
      </w:pPr>
      <w:r w:rsidRPr="004A7B98">
        <w:rPr>
          <w:rFonts w:cs="Times New Roman"/>
          <w:i/>
          <w:lang w:val="en-US"/>
        </w:rPr>
        <w:br/>
      </w:r>
      <w:r w:rsidRPr="004A7B98">
        <w:rPr>
          <w:rFonts w:cs="Times New Roman"/>
          <w:b/>
          <w:i/>
          <w:lang w:val="en-US"/>
        </w:rPr>
        <w:t>By</w:t>
      </w:r>
      <w:r w:rsidRPr="004A7B98">
        <w:rPr>
          <w:rFonts w:cs="Times New Roman"/>
          <w:b/>
          <w:i/>
        </w:rPr>
        <w:tab/>
      </w:r>
      <w:r w:rsidRPr="004A7B98">
        <w:rPr>
          <w:rFonts w:cs="Times New Roman"/>
          <w:b/>
          <w:i/>
        </w:rPr>
        <w:tab/>
      </w:r>
      <w:r w:rsidRPr="004A7B98">
        <w:rPr>
          <w:rFonts w:cs="Times New Roman"/>
          <w:b/>
          <w:i/>
          <w:lang w:val="en-US"/>
        </w:rPr>
        <w:t xml:space="preserve">: </w:t>
      </w:r>
      <w:r w:rsidRPr="004A7B98">
        <w:rPr>
          <w:rFonts w:cs="Times New Roman"/>
          <w:b/>
          <w:lang w:val="en-US"/>
        </w:rPr>
        <w:t>NANING LESTI</w:t>
      </w:r>
      <w:r w:rsidRPr="004A7B98">
        <w:rPr>
          <w:rFonts w:cs="Times New Roman"/>
          <w:b/>
        </w:rPr>
        <w:t>A</w:t>
      </w:r>
    </w:p>
    <w:p w:rsidR="00B86C06" w:rsidRPr="004A7B98" w:rsidRDefault="00B86C06" w:rsidP="00B86C06">
      <w:pPr>
        <w:spacing w:before="240" w:after="0"/>
        <w:rPr>
          <w:rFonts w:cs="Times New Roman"/>
        </w:rPr>
      </w:pPr>
      <w:r w:rsidRPr="004A7B98">
        <w:rPr>
          <w:rFonts w:cs="Times New Roman"/>
          <w:i/>
          <w:lang w:val="en-US"/>
        </w:rPr>
        <w:t>Advisors</w:t>
      </w:r>
      <w:r w:rsidRPr="004A7B98">
        <w:rPr>
          <w:rFonts w:cs="Times New Roman"/>
          <w:i/>
        </w:rPr>
        <w:tab/>
      </w:r>
      <w:r w:rsidRPr="004A7B98">
        <w:rPr>
          <w:rFonts w:cs="Times New Roman"/>
          <w:i/>
          <w:lang w:val="en-US"/>
        </w:rPr>
        <w:t xml:space="preserve">: </w:t>
      </w:r>
      <w:proofErr w:type="spellStart"/>
      <w:r w:rsidRPr="004A7B98">
        <w:rPr>
          <w:rFonts w:cs="Times New Roman"/>
          <w:lang w:val="en-US"/>
        </w:rPr>
        <w:t>Herawati</w:t>
      </w:r>
      <w:proofErr w:type="spellEnd"/>
      <w:r w:rsidRPr="004A7B98">
        <w:rPr>
          <w:rFonts w:cs="Times New Roman"/>
          <w:lang w:val="en-US"/>
        </w:rPr>
        <w:t xml:space="preserve">, S.E., </w:t>
      </w:r>
      <w:proofErr w:type="spellStart"/>
      <w:proofErr w:type="gramStart"/>
      <w:r w:rsidRPr="004A7B98">
        <w:rPr>
          <w:rFonts w:cs="Times New Roman"/>
          <w:lang w:val="en-US"/>
        </w:rPr>
        <w:t>M.Si</w:t>
      </w:r>
      <w:proofErr w:type="spellEnd"/>
      <w:r w:rsidRPr="004A7B98">
        <w:rPr>
          <w:rFonts w:cs="Times New Roman"/>
          <w:lang w:val="en-US"/>
        </w:rPr>
        <w:t>.,</w:t>
      </w:r>
      <w:proofErr w:type="gramEnd"/>
      <w:r>
        <w:rPr>
          <w:rFonts w:cs="Times New Roman"/>
        </w:rPr>
        <w:t xml:space="preserve"> </w:t>
      </w:r>
      <w:proofErr w:type="spellStart"/>
      <w:r w:rsidRPr="004A7B98">
        <w:rPr>
          <w:rFonts w:cs="Times New Roman"/>
          <w:lang w:val="en-US"/>
        </w:rPr>
        <w:t>Ak</w:t>
      </w:r>
      <w:proofErr w:type="spellEnd"/>
      <w:r w:rsidRPr="004A7B98">
        <w:rPr>
          <w:rFonts w:cs="Times New Roman"/>
          <w:lang w:val="en-US"/>
        </w:rPr>
        <w:t>., CA</w:t>
      </w:r>
    </w:p>
    <w:p w:rsidR="00B86C06" w:rsidRDefault="00B86C06" w:rsidP="00B86C06">
      <w:pPr>
        <w:tabs>
          <w:tab w:val="left" w:pos="1560"/>
        </w:tabs>
        <w:spacing w:after="0"/>
        <w:rPr>
          <w:rFonts w:cs="Times New Roman"/>
        </w:rPr>
      </w:pPr>
      <w:r w:rsidRPr="004A7B98">
        <w:rPr>
          <w:rFonts w:cs="Times New Roman"/>
        </w:rPr>
        <w:tab/>
      </w:r>
      <w:proofErr w:type="spellStart"/>
      <w:r w:rsidRPr="004A7B98">
        <w:rPr>
          <w:rFonts w:cs="Times New Roman"/>
          <w:lang w:val="en-US"/>
        </w:rPr>
        <w:t>Novia</w:t>
      </w:r>
      <w:proofErr w:type="spellEnd"/>
      <w:r w:rsidRPr="004A7B98">
        <w:rPr>
          <w:rFonts w:cs="Times New Roman"/>
        </w:rPr>
        <w:t xml:space="preserve"> </w:t>
      </w:r>
      <w:proofErr w:type="spellStart"/>
      <w:r w:rsidRPr="004A7B98">
        <w:rPr>
          <w:rFonts w:cs="Times New Roman"/>
          <w:lang w:val="en-US"/>
        </w:rPr>
        <w:t>Rahmawati</w:t>
      </w:r>
      <w:proofErr w:type="spellEnd"/>
      <w:r w:rsidRPr="004A7B98">
        <w:rPr>
          <w:rFonts w:cs="Times New Roman"/>
          <w:lang w:val="en-US"/>
        </w:rPr>
        <w:t xml:space="preserve"> SE., </w:t>
      </w:r>
      <w:proofErr w:type="spellStart"/>
      <w:r w:rsidRPr="004A7B98">
        <w:rPr>
          <w:rFonts w:cs="Times New Roman"/>
          <w:lang w:val="en-US"/>
        </w:rPr>
        <w:t>M.Si</w:t>
      </w:r>
      <w:proofErr w:type="spellEnd"/>
      <w:r w:rsidRPr="004A7B98">
        <w:rPr>
          <w:rFonts w:cs="Times New Roman"/>
          <w:lang w:val="en-US"/>
        </w:rPr>
        <w:t>.</w:t>
      </w:r>
    </w:p>
    <w:p w:rsidR="00B86C06" w:rsidRDefault="00B86C06" w:rsidP="00B86C06">
      <w:pPr>
        <w:tabs>
          <w:tab w:val="left" w:pos="851"/>
        </w:tabs>
        <w:spacing w:after="0"/>
        <w:jc w:val="both"/>
        <w:rPr>
          <w:rFonts w:cs="Times New Roman"/>
          <w:i/>
        </w:rPr>
      </w:pPr>
    </w:p>
    <w:p w:rsidR="00B86C06" w:rsidRDefault="00B86C06" w:rsidP="00B86C06">
      <w:pPr>
        <w:tabs>
          <w:tab w:val="left" w:pos="851"/>
        </w:tabs>
        <w:spacing w:after="0"/>
        <w:jc w:val="both"/>
        <w:rPr>
          <w:rFonts w:cs="Times New Roman"/>
          <w:i/>
        </w:rPr>
      </w:pPr>
      <w:r w:rsidRPr="004A7B98">
        <w:rPr>
          <w:rFonts w:cs="Times New Roman"/>
          <w:b/>
          <w:i/>
          <w:lang w:val="en-US"/>
        </w:rPr>
        <w:t>SUMMARY</w:t>
      </w:r>
    </w:p>
    <w:p w:rsidR="00B86C06" w:rsidRPr="00B86C06" w:rsidRDefault="00B86C06" w:rsidP="00B86C06">
      <w:pPr>
        <w:tabs>
          <w:tab w:val="left" w:pos="851"/>
        </w:tabs>
        <w:jc w:val="both"/>
        <w:rPr>
          <w:rFonts w:cs="Times New Roman"/>
        </w:rPr>
      </w:pPr>
    </w:p>
    <w:p w:rsidR="00B86C06" w:rsidRPr="00B86C06" w:rsidRDefault="00B86C06" w:rsidP="00B86C06">
      <w:pPr>
        <w:jc w:val="both"/>
        <w:rPr>
          <w:rFonts w:cs="Times New Roman"/>
          <w:i/>
        </w:rPr>
      </w:pPr>
      <w:r w:rsidRPr="004A7B98">
        <w:rPr>
          <w:rFonts w:cs="Times New Roman"/>
          <w:i/>
          <w:lang w:val="en-US"/>
        </w:rPr>
        <w:t xml:space="preserve">This study was aiming at proving empirically the effect of debt covenant, growth opportunities, </w:t>
      </w:r>
      <w:proofErr w:type="gramStart"/>
      <w:r w:rsidRPr="004A7B98">
        <w:rPr>
          <w:rFonts w:cs="Times New Roman"/>
          <w:i/>
          <w:lang w:val="en-US"/>
        </w:rPr>
        <w:t>company</w:t>
      </w:r>
      <w:proofErr w:type="gramEnd"/>
      <w:r w:rsidRPr="004A7B98">
        <w:rPr>
          <w:rFonts w:cs="Times New Roman"/>
          <w:i/>
          <w:lang w:val="en-US"/>
        </w:rPr>
        <w:t xml:space="preserve"> size and litigation risk on the application of accounting conservatism. </w:t>
      </w:r>
      <w:r>
        <w:rPr>
          <w:rFonts w:cs="Times New Roman"/>
          <w:i/>
        </w:rPr>
        <w:t>This study was a modification from the research of Susanto and Tiara (2016), Susilo and Jundi (2017) and Sulastiningsih dan Jaza (2017)</w:t>
      </w:r>
    </w:p>
    <w:p w:rsidR="00B86C06" w:rsidRPr="004A7B98" w:rsidRDefault="00B86C06" w:rsidP="00B86C06">
      <w:pPr>
        <w:jc w:val="both"/>
        <w:rPr>
          <w:rFonts w:cs="Times New Roman"/>
          <w:i/>
          <w:lang w:val="en-US"/>
        </w:rPr>
      </w:pPr>
      <w:r w:rsidRPr="004A7B98">
        <w:rPr>
          <w:rFonts w:cs="Times New Roman"/>
          <w:i/>
          <w:lang w:val="en-US"/>
        </w:rPr>
        <w:t>This study used agency theory which explained a contract between the principal (owner) and agent (manager) where the owner and manager both maximize welfare. The delegation of authority that causes agency problems is the misalignment of interests between the principal and agent, in other words the principal gives the mandate to the agent to carry out duties and decision making.</w:t>
      </w:r>
    </w:p>
    <w:p w:rsidR="00B86C06" w:rsidRPr="00B86C06" w:rsidRDefault="00B86C06" w:rsidP="00B86C06">
      <w:pPr>
        <w:jc w:val="both"/>
        <w:rPr>
          <w:rFonts w:cs="Times New Roman"/>
          <w:i/>
        </w:rPr>
      </w:pPr>
      <w:r w:rsidRPr="004A7B98">
        <w:rPr>
          <w:rFonts w:cs="Times New Roman"/>
          <w:i/>
          <w:lang w:val="en-US"/>
        </w:rPr>
        <w:t xml:space="preserve">This study used a population of manufacturing companies listed on the Indonesia Stock Exchange in 2012 to 2016. The sample of this study was 29 companies chosen based on a purposive sampling </w:t>
      </w:r>
      <w:proofErr w:type="spellStart"/>
      <w:r w:rsidRPr="004A7B98">
        <w:rPr>
          <w:rFonts w:cs="Times New Roman"/>
          <w:i/>
          <w:lang w:val="en-US"/>
        </w:rPr>
        <w:t>technique.The</w:t>
      </w:r>
      <w:proofErr w:type="spellEnd"/>
      <w:r w:rsidRPr="004A7B98">
        <w:rPr>
          <w:rFonts w:cs="Times New Roman"/>
          <w:i/>
          <w:lang w:val="en-US"/>
        </w:rPr>
        <w:t xml:space="preserve"> results showed that debt covenants had a negative effect, and growth opportunities variable had a positive effect on the application of accounting conservatism. Moreover, the company size and litigation risk variables had </w:t>
      </w:r>
      <w:proofErr w:type="spellStart"/>
      <w:r w:rsidRPr="004A7B98">
        <w:rPr>
          <w:rFonts w:cs="Times New Roman"/>
          <w:i/>
          <w:lang w:val="en-US"/>
        </w:rPr>
        <w:t>nosignificant</w:t>
      </w:r>
      <w:proofErr w:type="spellEnd"/>
      <w:r w:rsidRPr="004A7B98">
        <w:rPr>
          <w:rFonts w:cs="Times New Roman"/>
          <w:i/>
          <w:lang w:val="en-US"/>
        </w:rPr>
        <w:t xml:space="preserve"> effect on the application of accounting conservatism. In this study there were only four variables examined. For further researc</w:t>
      </w:r>
      <w:bookmarkStart w:id="0" w:name="_GoBack"/>
      <w:bookmarkEnd w:id="0"/>
      <w:r w:rsidRPr="004A7B98">
        <w:rPr>
          <w:rFonts w:cs="Times New Roman"/>
          <w:i/>
          <w:lang w:val="en-US"/>
        </w:rPr>
        <w:t>h it is recommended to use other variables to see its effect on the application of accounting conservatism. Other variables that can be used include capital structure, conflict of interest, ownership structure or other variables included in</w:t>
      </w:r>
      <w:r w:rsidRPr="004A7B98">
        <w:rPr>
          <w:rFonts w:cs="Times New Roman"/>
          <w:i/>
        </w:rPr>
        <w:t xml:space="preserve"> </w:t>
      </w:r>
      <w:r w:rsidRPr="004A7B98">
        <w:rPr>
          <w:rFonts w:cs="Times New Roman"/>
          <w:i/>
          <w:lang w:val="en-US"/>
        </w:rPr>
        <w:t>corporate governance</w:t>
      </w:r>
      <w:r w:rsidRPr="004A7B98">
        <w:rPr>
          <w:rFonts w:cs="Times New Roman"/>
          <w:i/>
        </w:rPr>
        <w:t xml:space="preserve">. </w:t>
      </w:r>
    </w:p>
    <w:p w:rsidR="00B86C06" w:rsidRPr="004A7B98" w:rsidRDefault="00B86C06" w:rsidP="00B86C06">
      <w:pPr>
        <w:ind w:left="1134" w:hanging="1134"/>
        <w:jc w:val="both"/>
        <w:rPr>
          <w:rFonts w:cs="Times New Roman"/>
          <w:i/>
          <w:lang w:val="en-US"/>
        </w:rPr>
      </w:pPr>
      <w:r w:rsidRPr="004A7B98">
        <w:rPr>
          <w:rFonts w:cs="Times New Roman"/>
          <w:b/>
          <w:i/>
          <w:lang w:val="en-US"/>
        </w:rPr>
        <w:t>Keywords:</w:t>
      </w:r>
      <w:r w:rsidRPr="004A7B98">
        <w:rPr>
          <w:rFonts w:cs="Times New Roman"/>
          <w:b/>
          <w:i/>
        </w:rPr>
        <w:t xml:space="preserve"> </w:t>
      </w:r>
      <w:r w:rsidRPr="00F26853">
        <w:rPr>
          <w:rFonts w:cs="Times New Roman"/>
          <w:b/>
          <w:i/>
          <w:lang w:val="en-US"/>
        </w:rPr>
        <w:t xml:space="preserve">Accounting Conservatism, Debt Covenant, Growth Opportunities, Company Size, </w:t>
      </w:r>
      <w:r w:rsidRPr="00F26853">
        <w:rPr>
          <w:rFonts w:cs="Times New Roman"/>
          <w:b/>
          <w:i/>
        </w:rPr>
        <w:t xml:space="preserve">  </w:t>
      </w:r>
      <w:r w:rsidRPr="00F26853">
        <w:rPr>
          <w:rFonts w:cs="Times New Roman"/>
          <w:b/>
          <w:i/>
          <w:lang w:val="en-US"/>
        </w:rPr>
        <w:t>Litigation Risk.</w:t>
      </w:r>
    </w:p>
    <w:p w:rsidR="00B86C06" w:rsidRPr="00BD761D" w:rsidRDefault="00B86C06" w:rsidP="00BD761D">
      <w:pPr>
        <w:ind w:left="1418" w:hanging="1418"/>
        <w:jc w:val="both"/>
        <w:rPr>
          <w:b/>
          <w:i/>
        </w:rPr>
      </w:pPr>
    </w:p>
    <w:sectPr w:rsidR="00B86C06" w:rsidRPr="00BD761D" w:rsidSect="00B22E07">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C1B41"/>
    <w:rsid w:val="00003422"/>
    <w:rsid w:val="00286AAC"/>
    <w:rsid w:val="002A7B9A"/>
    <w:rsid w:val="002B3FB2"/>
    <w:rsid w:val="00344AE4"/>
    <w:rsid w:val="0038536E"/>
    <w:rsid w:val="003B72FA"/>
    <w:rsid w:val="00466374"/>
    <w:rsid w:val="004C7F36"/>
    <w:rsid w:val="00510B83"/>
    <w:rsid w:val="005423A5"/>
    <w:rsid w:val="00563F81"/>
    <w:rsid w:val="00672AAB"/>
    <w:rsid w:val="007368EA"/>
    <w:rsid w:val="00757EB4"/>
    <w:rsid w:val="00885157"/>
    <w:rsid w:val="008904C0"/>
    <w:rsid w:val="009F666E"/>
    <w:rsid w:val="00A43F83"/>
    <w:rsid w:val="00AE12A6"/>
    <w:rsid w:val="00B22E07"/>
    <w:rsid w:val="00B46A9F"/>
    <w:rsid w:val="00B86C06"/>
    <w:rsid w:val="00BA1166"/>
    <w:rsid w:val="00BB4AA1"/>
    <w:rsid w:val="00BD761D"/>
    <w:rsid w:val="00C34399"/>
    <w:rsid w:val="00C5709F"/>
    <w:rsid w:val="00D650B9"/>
    <w:rsid w:val="00D77656"/>
    <w:rsid w:val="00DC008D"/>
    <w:rsid w:val="00E17357"/>
    <w:rsid w:val="00EA238D"/>
    <w:rsid w:val="00EC48F5"/>
    <w:rsid w:val="00F00B25"/>
    <w:rsid w:val="00F14CDA"/>
    <w:rsid w:val="00FC1B41"/>
    <w:rsid w:val="00FD75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6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Naning</dc:creator>
  <cp:lastModifiedBy>Naning</cp:lastModifiedBy>
  <cp:revision>17</cp:revision>
  <dcterms:created xsi:type="dcterms:W3CDTF">2018-08-17T13:45:00Z</dcterms:created>
  <dcterms:modified xsi:type="dcterms:W3CDTF">2018-08-23T07:27:00Z</dcterms:modified>
</cp:coreProperties>
</file>