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0C" w:rsidRPr="003A34EE" w:rsidRDefault="003A34EE" w:rsidP="003A3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34EE">
        <w:rPr>
          <w:rFonts w:ascii="Times New Roman" w:hAnsi="Times New Roman" w:cs="Times New Roman"/>
          <w:b/>
          <w:sz w:val="24"/>
          <w:szCs w:val="24"/>
        </w:rPr>
        <w:t>BAB V</w:t>
      </w:r>
    </w:p>
    <w:p w:rsidR="003A34EE" w:rsidRDefault="003A34EE" w:rsidP="003A3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EE">
        <w:rPr>
          <w:rFonts w:ascii="Times New Roman" w:hAnsi="Times New Roman" w:cs="Times New Roman"/>
          <w:b/>
          <w:sz w:val="24"/>
          <w:szCs w:val="24"/>
        </w:rPr>
        <w:t>KESIMPULAN DAN REKOMENDASI</w:t>
      </w:r>
    </w:p>
    <w:p w:rsidR="003A34EE" w:rsidRDefault="003A34EE" w:rsidP="003A3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34EE" w:rsidRDefault="003A34EE" w:rsidP="003A34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73F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memamparkan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77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34EE" w:rsidRDefault="003A34EE" w:rsidP="003A34EE">
      <w:pPr>
        <w:rPr>
          <w:rFonts w:ascii="Times New Roman" w:hAnsi="Times New Roman" w:cs="Times New Roman"/>
          <w:b/>
          <w:sz w:val="24"/>
          <w:szCs w:val="24"/>
        </w:rPr>
      </w:pPr>
      <w:r w:rsidRPr="003A34EE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3A34EE">
        <w:rPr>
          <w:rFonts w:ascii="Times New Roman" w:hAnsi="Times New Roman" w:cs="Times New Roman"/>
          <w:b/>
          <w:sz w:val="24"/>
          <w:szCs w:val="24"/>
        </w:rPr>
        <w:t>Temuan</w:t>
      </w:r>
      <w:proofErr w:type="spellEnd"/>
      <w:r w:rsidRPr="003A34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34EE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</w:p>
    <w:p w:rsidR="003A34EE" w:rsidRDefault="003A34EE" w:rsidP="003A3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34EE" w:rsidRDefault="003A34EE" w:rsidP="003A34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ketidaksinkronan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peruntukkan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RTRW Kota Sungai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RTRW Kota Sungai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diperuntukkan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</w:p>
    <w:p w:rsidR="003A34EE" w:rsidRPr="003A34EE" w:rsidRDefault="003A34EE" w:rsidP="003A34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4E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A3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4E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A3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4E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A3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4EE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A3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4EE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Pr="003A34EE">
        <w:rPr>
          <w:rFonts w:ascii="Times New Roman" w:hAnsi="Times New Roman" w:cs="Times New Roman"/>
          <w:sz w:val="24"/>
          <w:szCs w:val="24"/>
        </w:rPr>
        <w:t xml:space="preserve"> kaki lima (PKL) di </w:t>
      </w:r>
      <w:proofErr w:type="spellStart"/>
      <w:r w:rsidRPr="003A34EE">
        <w:rPr>
          <w:rFonts w:ascii="Times New Roman" w:hAnsi="Times New Roman" w:cs="Times New Roman"/>
          <w:sz w:val="24"/>
          <w:szCs w:val="24"/>
        </w:rPr>
        <w:t>ruas</w:t>
      </w:r>
      <w:proofErr w:type="spellEnd"/>
      <w:r w:rsidRPr="003A3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4EE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3A3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4EE"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 w:rsidRPr="003A3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4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34EE">
        <w:rPr>
          <w:rFonts w:ascii="Times New Roman" w:hAnsi="Times New Roman" w:cs="Times New Roman"/>
          <w:sz w:val="24"/>
          <w:szCs w:val="24"/>
        </w:rPr>
        <w:t>,</w:t>
      </w:r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ruas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ruas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ruas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81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95"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 w:rsidRPr="003A34EE">
        <w:rPr>
          <w:rFonts w:ascii="Times New Roman" w:hAnsi="Times New Roman"/>
          <w:sz w:val="24"/>
          <w:szCs w:val="24"/>
          <w:lang w:val="fi-FI"/>
        </w:rPr>
        <w:t>.</w:t>
      </w:r>
    </w:p>
    <w:p w:rsidR="003A34EE" w:rsidRPr="003A34EE" w:rsidRDefault="003A34EE" w:rsidP="003A34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i-FI"/>
        </w:rPr>
        <w:t xml:space="preserve">Ada 2 tipe unit Pedagang Kaki Lima (PKL) yang berjualan dibadan jalan pada ruas jalan Prof.m.Yamin ini, yaitu Pedagang menetap </w:t>
      </w:r>
      <w:r w:rsidRPr="003A34EE">
        <w:rPr>
          <w:rFonts w:ascii="Times New Roman" w:hAnsi="Times New Roman"/>
          <w:i/>
          <w:sz w:val="24"/>
          <w:szCs w:val="24"/>
          <w:lang w:val="fi-FI"/>
        </w:rPr>
        <w:t>(static)</w:t>
      </w:r>
      <w:r>
        <w:rPr>
          <w:rFonts w:ascii="Times New Roman" w:hAnsi="Times New Roman"/>
          <w:sz w:val="24"/>
          <w:szCs w:val="24"/>
          <w:lang w:val="fi-FI"/>
        </w:rPr>
        <w:t xml:space="preserve"> dan pedagang semi menetap </w:t>
      </w:r>
      <w:r w:rsidRPr="003A34EE">
        <w:rPr>
          <w:rFonts w:ascii="Times New Roman" w:hAnsi="Times New Roman"/>
          <w:i/>
          <w:sz w:val="24"/>
          <w:szCs w:val="24"/>
          <w:lang w:val="fi-FI"/>
        </w:rPr>
        <w:t>(semi static)</w:t>
      </w:r>
      <w:r>
        <w:rPr>
          <w:rFonts w:ascii="Times New Roman" w:hAnsi="Times New Roman"/>
          <w:i/>
          <w:sz w:val="24"/>
          <w:szCs w:val="24"/>
          <w:lang w:val="fi-FI"/>
        </w:rPr>
        <w:t>.</w:t>
      </w:r>
    </w:p>
    <w:p w:rsidR="003A34EE" w:rsidRDefault="003A34EE" w:rsidP="003A34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6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tariff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0895" w:rsidRDefault="00810895" w:rsidP="003A34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34EE" w:rsidRDefault="003A34EE" w:rsidP="003A34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34EE" w:rsidRPr="003A34EE" w:rsidRDefault="003A34EE" w:rsidP="003A34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4EE" w:rsidRPr="00810895" w:rsidRDefault="003A34EE" w:rsidP="00810895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0895">
        <w:rPr>
          <w:rFonts w:ascii="Times New Roman" w:hAnsi="Times New Roman" w:cs="Times New Roman"/>
          <w:b/>
          <w:sz w:val="24"/>
          <w:szCs w:val="24"/>
        </w:rPr>
        <w:lastRenderedPageBreak/>
        <w:t>Kesimpulan</w:t>
      </w:r>
      <w:proofErr w:type="spellEnd"/>
      <w:r w:rsidRPr="008108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4EE" w:rsidRDefault="003A34EE" w:rsidP="003A34EE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4EE">
        <w:rPr>
          <w:rFonts w:ascii="Times New Roman" w:hAnsi="Times New Roman" w:cs="Times New Roman"/>
          <w:b/>
          <w:i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2/2 UD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MKJI,1997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2/2 UD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34EE" w:rsidRDefault="003A34EE" w:rsidP="003A34EE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A34EE" w:rsidRDefault="003A34EE" w:rsidP="003A34EE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</w:t>
      </w:r>
      <w:proofErr w:type="gramStart"/>
      <w:r>
        <w:rPr>
          <w:rFonts w:ascii="Times New Roman" w:hAnsi="Times New Roman" w:cs="Times New Roman"/>
          <w:sz w:val="24"/>
          <w:szCs w:val="24"/>
        </w:rPr>
        <w:t>Lima(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PKL)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RTRW Kota Sungai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ruas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477E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ruas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ruas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ruas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477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6B39" w:rsidRDefault="00276B39" w:rsidP="003A34EE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25CA1" w:rsidRDefault="00C25CA1" w:rsidP="003A34EE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lima (PKL),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PKL.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PKL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5CA1" w:rsidRDefault="00C25CA1" w:rsidP="003A34EE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25CA1" w:rsidRDefault="00C25CA1" w:rsidP="003A34EE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25CA1" w:rsidRDefault="00C25CA1" w:rsidP="003A34EE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25CA1" w:rsidRDefault="00C25CA1" w:rsidP="003A34EE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25CA1" w:rsidRDefault="00C25CA1" w:rsidP="003A34EE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25CA1" w:rsidRDefault="00C25CA1" w:rsidP="003A34EE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25CA1" w:rsidRDefault="00810895" w:rsidP="00C25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PKL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0895" w:rsidRDefault="00810895" w:rsidP="0081089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0895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810895">
        <w:rPr>
          <w:rFonts w:ascii="Times New Roman" w:hAnsi="Times New Roman" w:cs="Times New Roman"/>
          <w:b/>
          <w:sz w:val="24"/>
          <w:szCs w:val="24"/>
        </w:rPr>
        <w:t xml:space="preserve"> 5.1 </w:t>
      </w:r>
      <w:proofErr w:type="spellStart"/>
      <w:r w:rsidRPr="00810895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810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89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Pr="00810895">
        <w:rPr>
          <w:rFonts w:ascii="Times New Roman" w:hAnsi="Times New Roman" w:cs="Times New Roman"/>
          <w:b/>
          <w:sz w:val="24"/>
          <w:szCs w:val="24"/>
        </w:rPr>
        <w:t xml:space="preserve"> PKL </w:t>
      </w:r>
      <w:proofErr w:type="spellStart"/>
      <w:r w:rsidRPr="00810895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810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895">
        <w:rPr>
          <w:rFonts w:ascii="Times New Roman" w:hAnsi="Times New Roman" w:cs="Times New Roman"/>
          <w:b/>
          <w:sz w:val="24"/>
          <w:szCs w:val="24"/>
        </w:rPr>
        <w:t>ruas</w:t>
      </w:r>
      <w:proofErr w:type="spellEnd"/>
      <w:r w:rsidRPr="00810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895">
        <w:rPr>
          <w:rFonts w:ascii="Times New Roman" w:hAnsi="Times New Roman" w:cs="Times New Roman"/>
          <w:b/>
          <w:sz w:val="24"/>
          <w:szCs w:val="24"/>
        </w:rPr>
        <w:t>jalan</w:t>
      </w:r>
      <w:proofErr w:type="spellEnd"/>
      <w:r w:rsidRPr="00810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895">
        <w:rPr>
          <w:rFonts w:ascii="Times New Roman" w:hAnsi="Times New Roman" w:cs="Times New Roman"/>
          <w:b/>
          <w:sz w:val="24"/>
          <w:szCs w:val="24"/>
        </w:rPr>
        <w:t>Prof.M.Yamin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1"/>
        <w:gridCol w:w="1137"/>
        <w:gridCol w:w="2674"/>
        <w:gridCol w:w="728"/>
        <w:gridCol w:w="2234"/>
      </w:tblGrid>
      <w:tr w:rsidR="00810895" w:rsidRPr="00C067DA" w:rsidTr="00810895">
        <w:tc>
          <w:tcPr>
            <w:tcW w:w="661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C067DA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t xml:space="preserve">No. </w:t>
            </w:r>
          </w:p>
        </w:tc>
        <w:tc>
          <w:tcPr>
            <w:tcW w:w="1137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C067DA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t>Segmen</w:t>
            </w:r>
          </w:p>
        </w:tc>
        <w:tc>
          <w:tcPr>
            <w:tcW w:w="2674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i-FI"/>
              </w:rPr>
              <w:t>Range Skor</w:t>
            </w:r>
          </w:p>
        </w:tc>
        <w:tc>
          <w:tcPr>
            <w:tcW w:w="728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C067DA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t>Bobot</w:t>
            </w:r>
          </w:p>
        </w:tc>
        <w:tc>
          <w:tcPr>
            <w:tcW w:w="2234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C067DA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t>Pengaruh terhadap Ruas Jalan</w:t>
            </w:r>
          </w:p>
        </w:tc>
      </w:tr>
      <w:tr w:rsidR="00810895" w:rsidRPr="00C067DA" w:rsidTr="00810895">
        <w:tc>
          <w:tcPr>
            <w:tcW w:w="661" w:type="dxa"/>
          </w:tcPr>
          <w:p w:rsidR="00810895" w:rsidRPr="00C067DA" w:rsidRDefault="00810895" w:rsidP="0081089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1137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067DA">
              <w:rPr>
                <w:rFonts w:ascii="Times New Roman" w:hAnsi="Times New Roman"/>
                <w:sz w:val="20"/>
                <w:szCs w:val="20"/>
                <w:lang w:val="fi-FI"/>
              </w:rPr>
              <w:t>Segmen I</w:t>
            </w:r>
          </w:p>
        </w:tc>
        <w:tc>
          <w:tcPr>
            <w:tcW w:w="2674" w:type="dxa"/>
          </w:tcPr>
          <w:p w:rsidR="00810895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>14-15,7</w:t>
            </w:r>
          </w:p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 xml:space="preserve"> ( Kurang mempengaruhi)</w:t>
            </w:r>
          </w:p>
        </w:tc>
        <w:tc>
          <w:tcPr>
            <w:tcW w:w="728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067DA">
              <w:rPr>
                <w:rFonts w:ascii="Times New Roman" w:hAnsi="Times New Roman"/>
                <w:sz w:val="20"/>
                <w:szCs w:val="20"/>
                <w:lang w:val="fi-FI"/>
              </w:rPr>
              <w:t>17</w:t>
            </w:r>
          </w:p>
        </w:tc>
        <w:tc>
          <w:tcPr>
            <w:tcW w:w="2234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067DA">
              <w:rPr>
                <w:rFonts w:ascii="Times New Roman" w:hAnsi="Times New Roman"/>
                <w:sz w:val="20"/>
                <w:szCs w:val="20"/>
                <w:lang w:val="fi-FI"/>
              </w:rPr>
              <w:t>Cukup Mempengaruhi</w:t>
            </w:r>
          </w:p>
        </w:tc>
      </w:tr>
      <w:tr w:rsidR="00810895" w:rsidRPr="00C067DA" w:rsidTr="00810895">
        <w:tc>
          <w:tcPr>
            <w:tcW w:w="661" w:type="dxa"/>
          </w:tcPr>
          <w:p w:rsidR="00810895" w:rsidRPr="00C067DA" w:rsidRDefault="00810895" w:rsidP="0081089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1137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067DA">
              <w:rPr>
                <w:rFonts w:ascii="Times New Roman" w:hAnsi="Times New Roman"/>
                <w:sz w:val="20"/>
                <w:szCs w:val="20"/>
                <w:lang w:val="fi-FI"/>
              </w:rPr>
              <w:t>Segmen II</w:t>
            </w:r>
          </w:p>
        </w:tc>
        <w:tc>
          <w:tcPr>
            <w:tcW w:w="2674" w:type="dxa"/>
          </w:tcPr>
          <w:p w:rsidR="00810895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 xml:space="preserve">15,8-17,4 </w:t>
            </w:r>
          </w:p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>(Cukup Mempengaruhi)</w:t>
            </w:r>
          </w:p>
        </w:tc>
        <w:tc>
          <w:tcPr>
            <w:tcW w:w="728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067DA">
              <w:rPr>
                <w:rFonts w:ascii="Times New Roman" w:hAnsi="Times New Roman"/>
                <w:sz w:val="20"/>
                <w:szCs w:val="20"/>
                <w:lang w:val="fi-FI"/>
              </w:rPr>
              <w:t>18</w:t>
            </w:r>
          </w:p>
        </w:tc>
        <w:tc>
          <w:tcPr>
            <w:tcW w:w="2234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067DA">
              <w:rPr>
                <w:rFonts w:ascii="Times New Roman" w:hAnsi="Times New Roman"/>
                <w:sz w:val="20"/>
                <w:szCs w:val="20"/>
                <w:lang w:val="fi-FI"/>
              </w:rPr>
              <w:t>Sangat Mempengaruhi</w:t>
            </w:r>
          </w:p>
        </w:tc>
      </w:tr>
      <w:tr w:rsidR="00810895" w:rsidRPr="00C067DA" w:rsidTr="00810895">
        <w:tc>
          <w:tcPr>
            <w:tcW w:w="661" w:type="dxa"/>
          </w:tcPr>
          <w:p w:rsidR="00810895" w:rsidRPr="00C067DA" w:rsidRDefault="00810895" w:rsidP="0081089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1137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067DA">
              <w:rPr>
                <w:rFonts w:ascii="Times New Roman" w:hAnsi="Times New Roman"/>
                <w:sz w:val="20"/>
                <w:szCs w:val="20"/>
                <w:lang w:val="fi-FI"/>
              </w:rPr>
              <w:t>Segmen III</w:t>
            </w:r>
          </w:p>
        </w:tc>
        <w:tc>
          <w:tcPr>
            <w:tcW w:w="2674" w:type="dxa"/>
          </w:tcPr>
          <w:p w:rsidR="00810895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 xml:space="preserve">17,5-19,1 </w:t>
            </w:r>
          </w:p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  <w:lang w:val="fi-FI"/>
              </w:rPr>
              <w:t>( Sangat Mempengaruhi)</w:t>
            </w:r>
          </w:p>
        </w:tc>
        <w:tc>
          <w:tcPr>
            <w:tcW w:w="728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067DA">
              <w:rPr>
                <w:rFonts w:ascii="Times New Roman" w:hAnsi="Times New Roman"/>
                <w:sz w:val="20"/>
                <w:szCs w:val="20"/>
                <w:lang w:val="fi-FI"/>
              </w:rPr>
              <w:t>11</w:t>
            </w:r>
          </w:p>
        </w:tc>
        <w:tc>
          <w:tcPr>
            <w:tcW w:w="2234" w:type="dxa"/>
          </w:tcPr>
          <w:p w:rsidR="00810895" w:rsidRPr="00C067DA" w:rsidRDefault="00810895" w:rsidP="00810895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067DA">
              <w:rPr>
                <w:rFonts w:ascii="Times New Roman" w:hAnsi="Times New Roman"/>
                <w:sz w:val="20"/>
                <w:szCs w:val="20"/>
                <w:lang w:val="fi-FI"/>
              </w:rPr>
              <w:t>Kurang Mempengaruhi</w:t>
            </w:r>
          </w:p>
        </w:tc>
      </w:tr>
    </w:tbl>
    <w:p w:rsidR="00810895" w:rsidRPr="00810895" w:rsidRDefault="00810895" w:rsidP="00810895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810895">
        <w:rPr>
          <w:rFonts w:ascii="Times New Roman" w:hAnsi="Times New Roman" w:cs="Times New Roman"/>
          <w:i/>
          <w:sz w:val="18"/>
          <w:szCs w:val="18"/>
        </w:rPr>
        <w:t>Sumber</w:t>
      </w:r>
      <w:proofErr w:type="spellEnd"/>
      <w:r w:rsidRPr="00810895">
        <w:rPr>
          <w:rFonts w:ascii="Times New Roman" w:hAnsi="Times New Roman" w:cs="Times New Roman"/>
          <w:i/>
          <w:sz w:val="18"/>
          <w:szCs w:val="18"/>
        </w:rPr>
        <w:t xml:space="preserve"> :</w:t>
      </w:r>
      <w:proofErr w:type="gramEnd"/>
      <w:r w:rsidRPr="0081089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810895">
        <w:rPr>
          <w:rFonts w:ascii="Times New Roman" w:hAnsi="Times New Roman" w:cs="Times New Roman"/>
          <w:i/>
          <w:sz w:val="18"/>
          <w:szCs w:val="18"/>
        </w:rPr>
        <w:t>Hasil</w:t>
      </w:r>
      <w:proofErr w:type="spellEnd"/>
      <w:r w:rsidRPr="00810895">
        <w:rPr>
          <w:rFonts w:ascii="Times New Roman" w:hAnsi="Times New Roman" w:cs="Times New Roman"/>
          <w:i/>
          <w:sz w:val="18"/>
          <w:szCs w:val="18"/>
        </w:rPr>
        <w:t xml:space="preserve"> Analisis,2015</w:t>
      </w:r>
    </w:p>
    <w:p w:rsidR="00276B39" w:rsidRDefault="00276B39" w:rsidP="00C25C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penialain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4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6038">
        <w:rPr>
          <w:rFonts w:ascii="Times New Roman" w:hAnsi="Times New Roman" w:cs="Times New Roman"/>
          <w:sz w:val="24"/>
          <w:szCs w:val="24"/>
        </w:rPr>
        <w:t>Beradasarkan</w:t>
      </w:r>
      <w:proofErr w:type="spellEnd"/>
      <w:r w:rsidR="00E4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03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E4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03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E4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038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="00E460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19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0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19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0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192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E0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19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="00E04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419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041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04192">
        <w:rPr>
          <w:rFonts w:ascii="Times New Roman" w:hAnsi="Times New Roman" w:cs="Times New Roman"/>
          <w:sz w:val="24"/>
          <w:szCs w:val="24"/>
        </w:rPr>
        <w:t>ruas</w:t>
      </w:r>
      <w:proofErr w:type="spellEnd"/>
      <w:r w:rsidR="00E0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19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E0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192"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 w:rsidR="00E0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1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041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4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41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041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04192" w:rsidRDefault="00E04192" w:rsidP="00E041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4192" w:rsidRDefault="00E04192" w:rsidP="00E041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Rp.3000-</w:t>
      </w:r>
      <w:proofErr w:type="gramStart"/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4192" w:rsidRDefault="00E04192" w:rsidP="00E041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memarkirkan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4192" w:rsidRDefault="00E04192" w:rsidP="00E041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0895" w:rsidRDefault="00810895" w:rsidP="008108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0895" w:rsidRDefault="00810895" w:rsidP="008108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895" w:rsidRDefault="00810895" w:rsidP="008108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4EE" w:rsidRPr="00810895" w:rsidRDefault="00964BF4" w:rsidP="00810895">
      <w:pPr>
        <w:pStyle w:val="ListParagraph"/>
        <w:numPr>
          <w:ilvl w:val="1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0895">
        <w:rPr>
          <w:rFonts w:ascii="Times New Roman" w:hAnsi="Times New Roman" w:cs="Times New Roman"/>
          <w:b/>
          <w:sz w:val="24"/>
          <w:szCs w:val="24"/>
        </w:rPr>
        <w:lastRenderedPageBreak/>
        <w:t>Rekomendasi</w:t>
      </w:r>
      <w:proofErr w:type="spellEnd"/>
    </w:p>
    <w:p w:rsidR="00964BF4" w:rsidRDefault="00964BF4" w:rsidP="00964BF4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rekomendasi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64BF4" w:rsidRPr="002B773F" w:rsidRDefault="00964BF4" w:rsidP="00964B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Kota Sungai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  <w:proofErr w:type="gramStart"/>
      <w:r>
        <w:rPr>
          <w:rFonts w:ascii="Times New Roman" w:hAnsi="Times New Roman"/>
          <w:sz w:val="24"/>
          <w:szCs w:val="24"/>
        </w:rPr>
        <w:t>lima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ketempat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disediakan</w:t>
      </w:r>
      <w:proofErr w:type="spellEnd"/>
      <w:r>
        <w:rPr>
          <w:rFonts w:ascii="Times New Roman" w:hAnsi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gangguan-gangguan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kemacetan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terminal </w:t>
      </w:r>
      <w:proofErr w:type="spellStart"/>
      <w:r>
        <w:rPr>
          <w:rFonts w:ascii="Times New Roman" w:hAnsi="Times New Roman"/>
          <w:sz w:val="24"/>
          <w:szCs w:val="24"/>
        </w:rPr>
        <w:t>lancar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gangguan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64BF4" w:rsidRPr="002B773F" w:rsidRDefault="00964BF4" w:rsidP="00964B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Kota Sungai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resmi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melayani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kendaraan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64BF4" w:rsidRPr="00D379DC" w:rsidRDefault="00964BF4" w:rsidP="00964B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upaya-upaya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dahulu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khusunya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pedagang-pedagang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berjualan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dipindahkan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disediakan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menghidari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konflik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64BF4" w:rsidRDefault="00964BF4" w:rsidP="00964BF4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BF4" w:rsidRDefault="00964BF4" w:rsidP="00810895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</w:p>
    <w:p w:rsidR="00964BF4" w:rsidRDefault="00964BF4" w:rsidP="00964BF4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64BF4" w:rsidRDefault="00964BF4" w:rsidP="00964BF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Prof.M.Yamin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4BF4" w:rsidRDefault="00964BF4" w:rsidP="00964BF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</w:p>
    <w:p w:rsidR="00964BF4" w:rsidRDefault="00964BF4" w:rsidP="00964BF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PKL</w:t>
      </w:r>
    </w:p>
    <w:p w:rsidR="00964BF4" w:rsidRDefault="00964BF4" w:rsidP="00964BF4">
      <w:pPr>
        <w:pStyle w:val="ListParagraph"/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810895" w:rsidRDefault="00810895" w:rsidP="00964BF4">
      <w:pPr>
        <w:pStyle w:val="ListParagraph"/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810895" w:rsidRDefault="00810895" w:rsidP="00964BF4">
      <w:pPr>
        <w:pStyle w:val="ListParagraph"/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810895" w:rsidRDefault="00810895" w:rsidP="00964BF4">
      <w:pPr>
        <w:pStyle w:val="ListParagraph"/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810895" w:rsidRDefault="00810895" w:rsidP="00964BF4">
      <w:pPr>
        <w:pStyle w:val="ListParagraph"/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810895" w:rsidRDefault="00810895" w:rsidP="00964BF4">
      <w:pPr>
        <w:pStyle w:val="ListParagraph"/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810895" w:rsidRDefault="00810895" w:rsidP="00964BF4">
      <w:pPr>
        <w:pStyle w:val="ListParagraph"/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964BF4" w:rsidRPr="00964BF4" w:rsidRDefault="00964BF4" w:rsidP="00964BF4">
      <w:pPr>
        <w:pStyle w:val="ListParagraph"/>
        <w:spacing w:line="36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BF4" w:rsidRPr="00964BF4" w:rsidRDefault="00964BF4" w:rsidP="00810895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BF4">
        <w:rPr>
          <w:rFonts w:ascii="Times New Roman" w:hAnsi="Times New Roman" w:cs="Times New Roman"/>
          <w:b/>
          <w:sz w:val="24"/>
          <w:szCs w:val="24"/>
        </w:rPr>
        <w:lastRenderedPageBreak/>
        <w:t>Usulan</w:t>
      </w:r>
      <w:proofErr w:type="spellEnd"/>
      <w:r w:rsidRPr="00964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BF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964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BF4">
        <w:rPr>
          <w:rFonts w:ascii="Times New Roman" w:hAnsi="Times New Roman" w:cs="Times New Roman"/>
          <w:b/>
          <w:sz w:val="24"/>
          <w:szCs w:val="24"/>
        </w:rPr>
        <w:t>Lanjutan</w:t>
      </w:r>
      <w:proofErr w:type="spellEnd"/>
    </w:p>
    <w:p w:rsidR="00964BF4" w:rsidRDefault="00964BF4" w:rsidP="00964BF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64BF4" w:rsidRDefault="00964BF4" w:rsidP="00964BF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lima</w:t>
      </w:r>
    </w:p>
    <w:p w:rsidR="00964BF4" w:rsidRPr="00D379DC" w:rsidRDefault="00964BF4" w:rsidP="00964BF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Sungai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</w:p>
    <w:p w:rsidR="00964BF4" w:rsidRPr="00964BF4" w:rsidRDefault="00964BF4" w:rsidP="00964BF4">
      <w:pPr>
        <w:pStyle w:val="ListParagraph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sectPr w:rsidR="00964BF4" w:rsidRPr="00964BF4" w:rsidSect="009238BE">
      <w:footerReference w:type="default" r:id="rId9"/>
      <w:pgSz w:w="11907" w:h="16840" w:code="9"/>
      <w:pgMar w:top="1701" w:right="1701" w:bottom="1701" w:left="2268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1A" w:rsidRDefault="000A231A" w:rsidP="00A27D63">
      <w:pPr>
        <w:spacing w:after="0" w:line="240" w:lineRule="auto"/>
      </w:pPr>
      <w:r>
        <w:separator/>
      </w:r>
    </w:p>
  </w:endnote>
  <w:endnote w:type="continuationSeparator" w:id="0">
    <w:p w:rsidR="000A231A" w:rsidRDefault="000A231A" w:rsidP="00A2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218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D63" w:rsidRDefault="00A27D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8BE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A27D63" w:rsidRDefault="00A27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1A" w:rsidRDefault="000A231A" w:rsidP="00A27D63">
      <w:pPr>
        <w:spacing w:after="0" w:line="240" w:lineRule="auto"/>
      </w:pPr>
      <w:r>
        <w:separator/>
      </w:r>
    </w:p>
  </w:footnote>
  <w:footnote w:type="continuationSeparator" w:id="0">
    <w:p w:rsidR="000A231A" w:rsidRDefault="000A231A" w:rsidP="00A27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5651"/>
    <w:multiLevelType w:val="multilevel"/>
    <w:tmpl w:val="39480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2C2441"/>
    <w:multiLevelType w:val="hybridMultilevel"/>
    <w:tmpl w:val="A6F471DC"/>
    <w:lvl w:ilvl="0" w:tplc="A344D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14FEE"/>
    <w:multiLevelType w:val="hybridMultilevel"/>
    <w:tmpl w:val="C7D61196"/>
    <w:lvl w:ilvl="0" w:tplc="A2DA2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2A33E7"/>
    <w:multiLevelType w:val="multilevel"/>
    <w:tmpl w:val="E55C84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51B2C54"/>
    <w:multiLevelType w:val="hybridMultilevel"/>
    <w:tmpl w:val="7FD8084E"/>
    <w:lvl w:ilvl="0" w:tplc="8F9E250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4F1269"/>
    <w:multiLevelType w:val="hybridMultilevel"/>
    <w:tmpl w:val="88E0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4F02"/>
    <w:multiLevelType w:val="hybridMultilevel"/>
    <w:tmpl w:val="34FE5BF0"/>
    <w:lvl w:ilvl="0" w:tplc="39D87E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98713D7"/>
    <w:multiLevelType w:val="hybridMultilevel"/>
    <w:tmpl w:val="1C9A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04DE4"/>
    <w:multiLevelType w:val="hybridMultilevel"/>
    <w:tmpl w:val="2B188A76"/>
    <w:lvl w:ilvl="0" w:tplc="93EAFA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EE"/>
    <w:rsid w:val="00033587"/>
    <w:rsid w:val="00080FC6"/>
    <w:rsid w:val="000A231A"/>
    <w:rsid w:val="001A275B"/>
    <w:rsid w:val="00200B34"/>
    <w:rsid w:val="0024162C"/>
    <w:rsid w:val="00276B39"/>
    <w:rsid w:val="00325338"/>
    <w:rsid w:val="003664EE"/>
    <w:rsid w:val="003924B2"/>
    <w:rsid w:val="003A34EE"/>
    <w:rsid w:val="004477E3"/>
    <w:rsid w:val="00541F24"/>
    <w:rsid w:val="00543F68"/>
    <w:rsid w:val="005E4B9C"/>
    <w:rsid w:val="006011C2"/>
    <w:rsid w:val="00636EB0"/>
    <w:rsid w:val="006A456B"/>
    <w:rsid w:val="006D2313"/>
    <w:rsid w:val="0075526F"/>
    <w:rsid w:val="007D036F"/>
    <w:rsid w:val="00810895"/>
    <w:rsid w:val="009238BE"/>
    <w:rsid w:val="00964BF4"/>
    <w:rsid w:val="00976A1C"/>
    <w:rsid w:val="00A27D63"/>
    <w:rsid w:val="00C25CA1"/>
    <w:rsid w:val="00D91AFA"/>
    <w:rsid w:val="00DC3B15"/>
    <w:rsid w:val="00E04192"/>
    <w:rsid w:val="00E209E4"/>
    <w:rsid w:val="00E46038"/>
    <w:rsid w:val="00E57239"/>
    <w:rsid w:val="00F4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EE"/>
    <w:pPr>
      <w:ind w:left="720"/>
      <w:contextualSpacing/>
    </w:pPr>
  </w:style>
  <w:style w:type="table" w:styleId="TableGrid">
    <w:name w:val="Table Grid"/>
    <w:basedOn w:val="TableNormal"/>
    <w:uiPriority w:val="59"/>
    <w:rsid w:val="00C2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63"/>
  </w:style>
  <w:style w:type="paragraph" w:styleId="Footer">
    <w:name w:val="footer"/>
    <w:basedOn w:val="Normal"/>
    <w:link w:val="FooterChar"/>
    <w:uiPriority w:val="99"/>
    <w:unhideWhenUsed/>
    <w:rsid w:val="00A2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EE"/>
    <w:pPr>
      <w:ind w:left="720"/>
      <w:contextualSpacing/>
    </w:pPr>
  </w:style>
  <w:style w:type="table" w:styleId="TableGrid">
    <w:name w:val="Table Grid"/>
    <w:basedOn w:val="TableNormal"/>
    <w:uiPriority w:val="59"/>
    <w:rsid w:val="00C2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63"/>
  </w:style>
  <w:style w:type="paragraph" w:styleId="Footer">
    <w:name w:val="footer"/>
    <w:basedOn w:val="Normal"/>
    <w:link w:val="FooterChar"/>
    <w:uiPriority w:val="99"/>
    <w:unhideWhenUsed/>
    <w:rsid w:val="00A27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F759-2C20-4C1C-BE38-EB58E72D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Ai</cp:lastModifiedBy>
  <cp:revision>12</cp:revision>
  <cp:lastPrinted>2015-02-09T04:10:00Z</cp:lastPrinted>
  <dcterms:created xsi:type="dcterms:W3CDTF">2015-02-06T19:51:00Z</dcterms:created>
  <dcterms:modified xsi:type="dcterms:W3CDTF">2015-02-15T15:14:00Z</dcterms:modified>
</cp:coreProperties>
</file>