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924" w:rsidRPr="00DD70E5" w:rsidRDefault="00654924" w:rsidP="00DE4C07">
      <w:pPr>
        <w:spacing w:line="480" w:lineRule="auto"/>
        <w:jc w:val="center"/>
        <w:rPr>
          <w:b/>
          <w:lang w:val="id-ID"/>
        </w:rPr>
      </w:pPr>
      <w:r w:rsidRPr="00DD70E5">
        <w:rPr>
          <w:b/>
          <w:lang w:val="id-ID"/>
        </w:rPr>
        <w:t>BAB I</w:t>
      </w:r>
    </w:p>
    <w:p w:rsidR="00654924" w:rsidRPr="00DD70E5" w:rsidRDefault="00654924" w:rsidP="00DE4C07">
      <w:pPr>
        <w:spacing w:line="480" w:lineRule="auto"/>
        <w:jc w:val="center"/>
        <w:rPr>
          <w:b/>
          <w:lang w:val="id-ID"/>
        </w:rPr>
      </w:pPr>
      <w:r w:rsidRPr="00DD70E5">
        <w:rPr>
          <w:b/>
          <w:lang w:val="id-ID"/>
        </w:rPr>
        <w:t>PENDAHULUAN</w:t>
      </w:r>
    </w:p>
    <w:p w:rsidR="00654924" w:rsidRPr="00DD70E5" w:rsidRDefault="00654924" w:rsidP="00DE4C07">
      <w:pPr>
        <w:pStyle w:val="ListParagraph"/>
        <w:spacing w:line="480" w:lineRule="auto"/>
        <w:ind w:left="426"/>
        <w:jc w:val="both"/>
        <w:rPr>
          <w:b/>
          <w:lang w:val="id-ID"/>
        </w:rPr>
      </w:pPr>
    </w:p>
    <w:p w:rsidR="00654924" w:rsidRPr="00DD70E5" w:rsidRDefault="00654924" w:rsidP="00DE4C07">
      <w:pPr>
        <w:pStyle w:val="ListParagraph"/>
        <w:numPr>
          <w:ilvl w:val="1"/>
          <w:numId w:val="7"/>
        </w:numPr>
        <w:tabs>
          <w:tab w:val="left" w:pos="426"/>
        </w:tabs>
        <w:spacing w:line="480" w:lineRule="auto"/>
        <w:ind w:left="567" w:hanging="567"/>
        <w:jc w:val="both"/>
        <w:rPr>
          <w:b/>
          <w:lang w:val="id-ID"/>
        </w:rPr>
      </w:pPr>
      <w:r w:rsidRPr="00DD70E5">
        <w:rPr>
          <w:b/>
          <w:lang w:val="id-ID"/>
        </w:rPr>
        <w:t>Latar Belakang</w:t>
      </w:r>
    </w:p>
    <w:p w:rsidR="009836BD" w:rsidRDefault="00654924" w:rsidP="00B52854">
      <w:pPr>
        <w:spacing w:line="480" w:lineRule="auto"/>
        <w:ind w:left="432" w:firstLine="731"/>
        <w:jc w:val="both"/>
        <w:rPr>
          <w:lang w:val="id-ID"/>
        </w:rPr>
      </w:pPr>
      <w:proofErr w:type="spellStart"/>
      <w:r w:rsidRPr="00DD70E5">
        <w:t>Manajemen</w:t>
      </w:r>
      <w:proofErr w:type="spellEnd"/>
      <w:r w:rsidRPr="00DD70E5">
        <w:t xml:space="preserve"> </w:t>
      </w:r>
      <w:proofErr w:type="spellStart"/>
      <w:r w:rsidRPr="00DD70E5">
        <w:t>pemerintah</w:t>
      </w:r>
      <w:proofErr w:type="spellEnd"/>
      <w:r w:rsidRPr="00DD70E5">
        <w:t xml:space="preserve"> </w:t>
      </w:r>
      <w:proofErr w:type="spellStart"/>
      <w:r w:rsidRPr="00DD70E5">
        <w:t>daerah</w:t>
      </w:r>
      <w:proofErr w:type="spellEnd"/>
      <w:r w:rsidRPr="00DD70E5">
        <w:t xml:space="preserve"> di Indonesia </w:t>
      </w:r>
      <w:proofErr w:type="spellStart"/>
      <w:r w:rsidRPr="00DD70E5">
        <w:t>memasuki</w:t>
      </w:r>
      <w:proofErr w:type="spellEnd"/>
      <w:r w:rsidRPr="00DD70E5">
        <w:t xml:space="preserve"> era </w:t>
      </w:r>
      <w:proofErr w:type="spellStart"/>
      <w:r w:rsidRPr="00DD70E5">
        <w:t>baru</w:t>
      </w:r>
      <w:proofErr w:type="spellEnd"/>
      <w:r w:rsidRPr="00DD70E5">
        <w:t xml:space="preserve"> </w:t>
      </w:r>
      <w:proofErr w:type="spellStart"/>
      <w:r w:rsidRPr="00DD70E5">
        <w:t>seiring</w:t>
      </w:r>
      <w:proofErr w:type="spellEnd"/>
      <w:r w:rsidRPr="00DD70E5">
        <w:t xml:space="preserve"> </w:t>
      </w:r>
      <w:proofErr w:type="spellStart"/>
      <w:r w:rsidRPr="00DD70E5">
        <w:t>dib</w:t>
      </w:r>
      <w:r w:rsidR="008A64A9" w:rsidRPr="00DD70E5">
        <w:t>erlakukannya</w:t>
      </w:r>
      <w:proofErr w:type="spellEnd"/>
      <w:r w:rsidR="008A64A9" w:rsidRPr="00DD70E5">
        <w:t xml:space="preserve"> </w:t>
      </w:r>
      <w:proofErr w:type="spellStart"/>
      <w:r w:rsidR="008A64A9" w:rsidRPr="00DD70E5">
        <w:t>desentralisasi</w:t>
      </w:r>
      <w:proofErr w:type="spellEnd"/>
      <w:r w:rsidR="008A64A9" w:rsidRPr="00DD70E5">
        <w:t xml:space="preserve"> </w:t>
      </w:r>
      <w:proofErr w:type="spellStart"/>
      <w:r w:rsidR="0050321E">
        <w:t>fisk</w:t>
      </w:r>
      <w:r w:rsidR="001B4AFE">
        <w:t>al</w:t>
      </w:r>
      <w:proofErr w:type="spellEnd"/>
      <w:r w:rsidR="001B4AFE">
        <w:t xml:space="preserve">, </w:t>
      </w:r>
      <w:r w:rsidRPr="00DD70E5">
        <w:rPr>
          <w:lang w:val="id-ID"/>
        </w:rPr>
        <w:t>yang ditandai bangkitnya demokrasi yang memberikan kewenangan luas kepada daerah untuk mengatur serta mengurus kepentingan masyarakat setempat, sesuai dengan prakarsa, aspirasi masyarakat yang sejalan dengan semangat demokrasi. Kemudian pemerintah mengeluarkan kebijakan baru mengenai otonomi daerah, yakni dengan pemberlakuan</w:t>
      </w:r>
      <w:r w:rsidR="00AB09B3">
        <w:rPr>
          <w:lang w:val="en-US"/>
        </w:rPr>
        <w:t xml:space="preserve"> </w:t>
      </w:r>
      <w:r w:rsidR="0075240D">
        <w:rPr>
          <w:lang w:val="en-US"/>
        </w:rPr>
        <w:t xml:space="preserve">UU No. 32 </w:t>
      </w:r>
      <w:proofErr w:type="spellStart"/>
      <w:r w:rsidR="0075240D">
        <w:rPr>
          <w:lang w:val="en-US"/>
        </w:rPr>
        <w:t>tentang</w:t>
      </w:r>
      <w:proofErr w:type="spellEnd"/>
      <w:r w:rsidR="0075240D">
        <w:rPr>
          <w:lang w:val="en-US"/>
        </w:rPr>
        <w:t xml:space="preserve"> </w:t>
      </w:r>
      <w:proofErr w:type="spellStart"/>
      <w:r w:rsidR="0075240D">
        <w:rPr>
          <w:lang w:val="en-US"/>
        </w:rPr>
        <w:t>Tahun</w:t>
      </w:r>
      <w:proofErr w:type="spellEnd"/>
      <w:r w:rsidR="0075240D">
        <w:rPr>
          <w:lang w:val="en-US"/>
        </w:rPr>
        <w:t xml:space="preserve"> 2004 </w:t>
      </w:r>
      <w:proofErr w:type="spellStart"/>
      <w:r w:rsidR="0075240D">
        <w:rPr>
          <w:lang w:val="en-US"/>
        </w:rPr>
        <w:t>tentang</w:t>
      </w:r>
      <w:proofErr w:type="spellEnd"/>
      <w:r w:rsidR="0075240D">
        <w:rPr>
          <w:lang w:val="en-US"/>
        </w:rPr>
        <w:t xml:space="preserve"> </w:t>
      </w:r>
      <w:proofErr w:type="spellStart"/>
      <w:r w:rsidR="0075240D">
        <w:rPr>
          <w:lang w:val="en-US"/>
        </w:rPr>
        <w:t>Pemerintah</w:t>
      </w:r>
      <w:proofErr w:type="spellEnd"/>
      <w:r w:rsidR="0075240D">
        <w:rPr>
          <w:lang w:val="en-US"/>
        </w:rPr>
        <w:t xml:space="preserve"> Daerah, </w:t>
      </w:r>
      <w:r w:rsidR="00AB09B3">
        <w:rPr>
          <w:lang w:val="en-US"/>
        </w:rPr>
        <w:t>UU No. 33</w:t>
      </w:r>
      <w:r w:rsidR="00662333">
        <w:rPr>
          <w:lang w:val="en-US"/>
        </w:rPr>
        <w:t xml:space="preserve"> </w:t>
      </w:r>
      <w:proofErr w:type="spellStart"/>
      <w:r w:rsidR="00662333">
        <w:rPr>
          <w:lang w:val="en-US"/>
        </w:rPr>
        <w:t>Tahun</w:t>
      </w:r>
      <w:proofErr w:type="spellEnd"/>
      <w:r w:rsidR="00662333">
        <w:rPr>
          <w:lang w:val="en-US"/>
        </w:rPr>
        <w:t xml:space="preserve"> 2004</w:t>
      </w:r>
      <w:r w:rsidRPr="00DD70E5">
        <w:rPr>
          <w:lang w:val="id-ID"/>
        </w:rPr>
        <w:t xml:space="preserve"> tentang Perimbangan Keuangan antara Pemerintah Pusa</w:t>
      </w:r>
      <w:r w:rsidR="00662333">
        <w:rPr>
          <w:lang w:val="id-ID"/>
        </w:rPr>
        <w:t xml:space="preserve">t dan Daerah dan </w:t>
      </w:r>
      <w:proofErr w:type="spellStart"/>
      <w:r w:rsidR="00662333">
        <w:rPr>
          <w:lang w:val="en-US"/>
        </w:rPr>
        <w:t>Pemendagri</w:t>
      </w:r>
      <w:proofErr w:type="spellEnd"/>
      <w:r w:rsidR="00662333">
        <w:rPr>
          <w:lang w:val="en-US"/>
        </w:rPr>
        <w:t xml:space="preserve"> </w:t>
      </w:r>
      <w:r w:rsidR="00662333" w:rsidRPr="00DD70E5">
        <w:rPr>
          <w:lang w:val="id-ID"/>
        </w:rPr>
        <w:t>No. 3</w:t>
      </w:r>
      <w:r w:rsidR="00662333">
        <w:rPr>
          <w:lang w:val="en-US"/>
        </w:rPr>
        <w:t>7</w:t>
      </w:r>
      <w:r w:rsidR="00662333">
        <w:rPr>
          <w:lang w:val="id-ID"/>
        </w:rPr>
        <w:t xml:space="preserve"> Tahun 201</w:t>
      </w:r>
      <w:r w:rsidR="00662333" w:rsidRPr="00DD70E5">
        <w:rPr>
          <w:lang w:val="id-ID"/>
        </w:rPr>
        <w:t xml:space="preserve">4 tentang </w:t>
      </w:r>
      <w:proofErr w:type="spellStart"/>
      <w:r w:rsidR="00662333">
        <w:rPr>
          <w:lang w:val="en-US"/>
        </w:rPr>
        <w:t>pedoman</w:t>
      </w:r>
      <w:proofErr w:type="spellEnd"/>
      <w:r w:rsidR="00662333">
        <w:rPr>
          <w:lang w:val="en-US"/>
        </w:rPr>
        <w:t xml:space="preserve"> </w:t>
      </w:r>
      <w:proofErr w:type="spellStart"/>
      <w:r w:rsidR="00662333">
        <w:rPr>
          <w:lang w:val="en-US"/>
        </w:rPr>
        <w:t>penyusunan</w:t>
      </w:r>
      <w:proofErr w:type="spellEnd"/>
      <w:r w:rsidR="00662333">
        <w:rPr>
          <w:lang w:val="en-US"/>
        </w:rPr>
        <w:t xml:space="preserve"> </w:t>
      </w:r>
      <w:proofErr w:type="spellStart"/>
      <w:r w:rsidR="00662333">
        <w:rPr>
          <w:lang w:val="en-US"/>
        </w:rPr>
        <w:t>anggaran</w:t>
      </w:r>
      <w:proofErr w:type="spellEnd"/>
      <w:r w:rsidR="00662333">
        <w:rPr>
          <w:lang w:val="en-US"/>
        </w:rPr>
        <w:t xml:space="preserve"> </w:t>
      </w:r>
      <w:proofErr w:type="spellStart"/>
      <w:r w:rsidR="00662333">
        <w:rPr>
          <w:lang w:val="en-US"/>
        </w:rPr>
        <w:t>pendapatan</w:t>
      </w:r>
      <w:proofErr w:type="spellEnd"/>
      <w:r w:rsidR="00662333">
        <w:rPr>
          <w:lang w:val="en-US"/>
        </w:rPr>
        <w:t xml:space="preserve"> </w:t>
      </w:r>
      <w:proofErr w:type="spellStart"/>
      <w:r w:rsidR="00662333">
        <w:rPr>
          <w:lang w:val="en-US"/>
        </w:rPr>
        <w:t>dan</w:t>
      </w:r>
      <w:proofErr w:type="spellEnd"/>
      <w:r w:rsidR="00662333">
        <w:rPr>
          <w:lang w:val="en-US"/>
        </w:rPr>
        <w:t xml:space="preserve"> </w:t>
      </w:r>
      <w:proofErr w:type="spellStart"/>
      <w:r w:rsidR="00662333">
        <w:rPr>
          <w:lang w:val="en-US"/>
        </w:rPr>
        <w:t>belanja</w:t>
      </w:r>
      <w:proofErr w:type="spellEnd"/>
      <w:r w:rsidR="00662333">
        <w:rPr>
          <w:lang w:val="en-US"/>
        </w:rPr>
        <w:t xml:space="preserve"> </w:t>
      </w:r>
      <w:proofErr w:type="spellStart"/>
      <w:r w:rsidR="00662333">
        <w:rPr>
          <w:lang w:val="en-US"/>
        </w:rPr>
        <w:t>daerah</w:t>
      </w:r>
      <w:proofErr w:type="spellEnd"/>
      <w:r w:rsidR="00662333">
        <w:rPr>
          <w:lang w:val="en-US"/>
        </w:rPr>
        <w:t>.</w:t>
      </w:r>
    </w:p>
    <w:p w:rsidR="0012304A" w:rsidRDefault="00CC1CD2" w:rsidP="00DE4C07">
      <w:pPr>
        <w:pStyle w:val="ListParagraph"/>
        <w:spacing w:line="480" w:lineRule="auto"/>
        <w:ind w:left="446" w:firstLine="720"/>
        <w:jc w:val="both"/>
        <w:rPr>
          <w:rStyle w:val="Hyperlink"/>
          <w:bCs/>
          <w:color w:val="auto"/>
        </w:rPr>
      </w:pPr>
      <w:proofErr w:type="spellStart"/>
      <w:r w:rsidRPr="00067BD2">
        <w:t>Ekses</w:t>
      </w:r>
      <w:proofErr w:type="spellEnd"/>
      <w:r w:rsidRPr="00067BD2">
        <w:t xml:space="preserve"> </w:t>
      </w:r>
      <w:proofErr w:type="spellStart"/>
      <w:r w:rsidRPr="00067BD2">
        <w:t>d</w:t>
      </w:r>
      <w:r w:rsidR="0012304A">
        <w:t>ari</w:t>
      </w:r>
      <w:proofErr w:type="spellEnd"/>
      <w:r w:rsidR="0012304A">
        <w:t xml:space="preserve"> </w:t>
      </w:r>
      <w:proofErr w:type="spellStart"/>
      <w:r w:rsidR="0012304A">
        <w:t>implementasi</w:t>
      </w:r>
      <w:proofErr w:type="spellEnd"/>
      <w:r w:rsidR="0012304A">
        <w:t xml:space="preserve"> </w:t>
      </w:r>
      <w:proofErr w:type="spellStart"/>
      <w:r w:rsidR="0012304A">
        <w:t>otonomi</w:t>
      </w:r>
      <w:proofErr w:type="spellEnd"/>
      <w:r w:rsidR="0012304A">
        <w:t xml:space="preserve"> </w:t>
      </w:r>
      <w:proofErr w:type="spellStart"/>
      <w:r w:rsidR="0012304A">
        <w:t>daerah</w:t>
      </w:r>
      <w:proofErr w:type="spellEnd"/>
      <w:r w:rsidR="0012304A">
        <w:t xml:space="preserve"> </w:t>
      </w:r>
      <w:proofErr w:type="spellStart"/>
      <w:r w:rsidRPr="00067BD2">
        <w:t>telah</w:t>
      </w:r>
      <w:proofErr w:type="spellEnd"/>
      <w:r w:rsidRPr="00067BD2">
        <w:t xml:space="preserve"> </w:t>
      </w:r>
      <w:proofErr w:type="spellStart"/>
      <w:r w:rsidRPr="00067BD2">
        <w:t>sampai</w:t>
      </w:r>
      <w:proofErr w:type="spellEnd"/>
      <w:r w:rsidRPr="00067BD2">
        <w:t xml:space="preserve"> </w:t>
      </w:r>
      <w:proofErr w:type="spellStart"/>
      <w:r w:rsidRPr="00067BD2">
        <w:t>pada</w:t>
      </w:r>
      <w:proofErr w:type="spellEnd"/>
      <w:r w:rsidRPr="00067BD2">
        <w:t xml:space="preserve"> </w:t>
      </w:r>
      <w:proofErr w:type="spellStart"/>
      <w:r w:rsidRPr="00067BD2">
        <w:t>kondisi</w:t>
      </w:r>
      <w:proofErr w:type="spellEnd"/>
      <w:r w:rsidRPr="00067BD2">
        <w:t xml:space="preserve"> yang </w:t>
      </w:r>
      <w:proofErr w:type="spellStart"/>
      <w:r w:rsidRPr="00067BD2">
        <w:t>mengkhawatirkan</w:t>
      </w:r>
      <w:proofErr w:type="spellEnd"/>
      <w:r w:rsidR="0012304A">
        <w:t xml:space="preserve">, </w:t>
      </w:r>
      <w:proofErr w:type="spellStart"/>
      <w:r w:rsidR="0012304A">
        <w:t>adanya</w:t>
      </w:r>
      <w:proofErr w:type="spellEnd"/>
      <w:r w:rsidR="0012304A">
        <w:t xml:space="preserve"> </w:t>
      </w:r>
      <w:proofErr w:type="spellStart"/>
      <w:r w:rsidR="0012304A">
        <w:t>f</w:t>
      </w:r>
      <w:r w:rsidR="0012304A" w:rsidRPr="00067BD2">
        <w:t>enomena</w:t>
      </w:r>
      <w:proofErr w:type="spellEnd"/>
      <w:r w:rsidR="0012304A" w:rsidRPr="00067BD2">
        <w:t xml:space="preserve"> yang </w:t>
      </w:r>
      <w:proofErr w:type="spellStart"/>
      <w:r w:rsidR="0012304A" w:rsidRPr="00067BD2">
        <w:t>harus</w:t>
      </w:r>
      <w:proofErr w:type="spellEnd"/>
      <w:r w:rsidR="0012304A" w:rsidRPr="00067BD2">
        <w:t xml:space="preserve"> </w:t>
      </w:r>
      <w:proofErr w:type="spellStart"/>
      <w:r w:rsidR="0012304A" w:rsidRPr="00067BD2">
        <w:t>diwaspadai</w:t>
      </w:r>
      <w:proofErr w:type="spellEnd"/>
      <w:r w:rsidR="0012304A" w:rsidRPr="00067BD2">
        <w:t xml:space="preserve"> </w:t>
      </w:r>
      <w:proofErr w:type="spellStart"/>
      <w:r w:rsidR="0012304A" w:rsidRPr="00067BD2">
        <w:t>atas</w:t>
      </w:r>
      <w:proofErr w:type="spellEnd"/>
      <w:r w:rsidR="0012304A" w:rsidRPr="00067BD2">
        <w:t xml:space="preserve"> </w:t>
      </w:r>
      <w:proofErr w:type="spellStart"/>
      <w:r w:rsidR="0012304A" w:rsidRPr="00067BD2">
        <w:t>berbagai</w:t>
      </w:r>
      <w:proofErr w:type="spellEnd"/>
      <w:r w:rsidR="0012304A" w:rsidRPr="00067BD2">
        <w:t xml:space="preserve"> </w:t>
      </w:r>
      <w:proofErr w:type="spellStart"/>
      <w:r w:rsidR="0012304A" w:rsidRPr="00067BD2">
        <w:t>persoalan</w:t>
      </w:r>
      <w:proofErr w:type="spellEnd"/>
      <w:r w:rsidR="0012304A" w:rsidRPr="00067BD2">
        <w:t xml:space="preserve"> </w:t>
      </w:r>
      <w:proofErr w:type="spellStart"/>
      <w:r w:rsidR="0012304A" w:rsidRPr="00067BD2">
        <w:t>dan</w:t>
      </w:r>
      <w:proofErr w:type="spellEnd"/>
      <w:r w:rsidR="0012304A" w:rsidRPr="00067BD2">
        <w:t xml:space="preserve"> </w:t>
      </w:r>
      <w:proofErr w:type="spellStart"/>
      <w:r w:rsidR="0012304A" w:rsidRPr="00067BD2">
        <w:t>ekses</w:t>
      </w:r>
      <w:proofErr w:type="spellEnd"/>
      <w:r w:rsidR="0012304A" w:rsidRPr="00067BD2">
        <w:t xml:space="preserve"> </w:t>
      </w:r>
      <w:proofErr w:type="spellStart"/>
      <w:r w:rsidR="0012304A" w:rsidRPr="00067BD2">
        <w:t>tersebut</w:t>
      </w:r>
      <w:proofErr w:type="spellEnd"/>
      <w:r w:rsidR="0012304A" w:rsidRPr="00067BD2">
        <w:t xml:space="preserve"> </w:t>
      </w:r>
      <w:proofErr w:type="spellStart"/>
      <w:r w:rsidR="0012304A" w:rsidRPr="00067BD2">
        <w:t>dapat</w:t>
      </w:r>
      <w:proofErr w:type="spellEnd"/>
      <w:r w:rsidR="0012304A" w:rsidRPr="00067BD2">
        <w:t xml:space="preserve"> </w:t>
      </w:r>
      <w:proofErr w:type="spellStart"/>
      <w:r w:rsidR="0012304A" w:rsidRPr="00067BD2">
        <w:t>dirangkum</w:t>
      </w:r>
      <w:proofErr w:type="spellEnd"/>
      <w:r w:rsidR="0012304A" w:rsidRPr="00067BD2">
        <w:t xml:space="preserve"> </w:t>
      </w:r>
      <w:proofErr w:type="spellStart"/>
      <w:r w:rsidR="0012304A" w:rsidRPr="00067BD2">
        <w:t>dalam</w:t>
      </w:r>
      <w:proofErr w:type="spellEnd"/>
      <w:r w:rsidR="0012304A" w:rsidRPr="00067BD2">
        <w:t xml:space="preserve"> </w:t>
      </w:r>
      <w:proofErr w:type="spellStart"/>
      <w:r w:rsidR="0012304A" w:rsidRPr="00067BD2">
        <w:t>suatu</w:t>
      </w:r>
      <w:proofErr w:type="spellEnd"/>
      <w:r w:rsidR="0012304A" w:rsidRPr="00067BD2">
        <w:t xml:space="preserve"> </w:t>
      </w:r>
      <w:proofErr w:type="spellStart"/>
      <w:r w:rsidR="0012304A" w:rsidRPr="00067BD2">
        <w:t>perspektif</w:t>
      </w:r>
      <w:proofErr w:type="spellEnd"/>
      <w:r w:rsidR="0012304A" w:rsidRPr="00067BD2">
        <w:t xml:space="preserve"> </w:t>
      </w:r>
      <w:proofErr w:type="spellStart"/>
      <w:r w:rsidR="0012304A" w:rsidRPr="00067BD2">
        <w:t>persoalan</w:t>
      </w:r>
      <w:proofErr w:type="spellEnd"/>
      <w:r w:rsidR="0012304A" w:rsidRPr="00067BD2">
        <w:t xml:space="preserve"> </w:t>
      </w:r>
      <w:proofErr w:type="spellStart"/>
      <w:r w:rsidR="0012304A" w:rsidRPr="00067BD2">
        <w:t>yaitu</w:t>
      </w:r>
      <w:proofErr w:type="spellEnd"/>
      <w:r w:rsidR="0012304A" w:rsidRPr="00067BD2">
        <w:t xml:space="preserve"> </w:t>
      </w:r>
      <w:proofErr w:type="spellStart"/>
      <w:r w:rsidR="0012304A" w:rsidRPr="00067BD2">
        <w:t>ketimpangan</w:t>
      </w:r>
      <w:proofErr w:type="spellEnd"/>
      <w:r w:rsidR="0012304A" w:rsidRPr="00067BD2">
        <w:t xml:space="preserve"> </w:t>
      </w:r>
      <w:proofErr w:type="spellStart"/>
      <w:r w:rsidR="0012304A" w:rsidRPr="00067BD2">
        <w:t>dalam</w:t>
      </w:r>
      <w:proofErr w:type="spellEnd"/>
      <w:r w:rsidR="0012304A" w:rsidRPr="00067BD2">
        <w:t xml:space="preserve"> </w:t>
      </w:r>
      <w:proofErr w:type="spellStart"/>
      <w:r w:rsidR="0012304A" w:rsidRPr="00067BD2">
        <w:t>hubungan</w:t>
      </w:r>
      <w:proofErr w:type="spellEnd"/>
      <w:r w:rsidR="0012304A" w:rsidRPr="00067BD2">
        <w:t xml:space="preserve"> </w:t>
      </w:r>
      <w:proofErr w:type="spellStart"/>
      <w:r w:rsidR="0012304A" w:rsidRPr="00067BD2">
        <w:t>pusat</w:t>
      </w:r>
      <w:proofErr w:type="spellEnd"/>
      <w:r w:rsidR="0012304A" w:rsidRPr="00067BD2">
        <w:t xml:space="preserve"> </w:t>
      </w:r>
      <w:proofErr w:type="spellStart"/>
      <w:r w:rsidR="0012304A" w:rsidRPr="00067BD2">
        <w:t>dan</w:t>
      </w:r>
      <w:proofErr w:type="spellEnd"/>
      <w:r w:rsidR="0012304A" w:rsidRPr="00067BD2">
        <w:t xml:space="preserve"> </w:t>
      </w:r>
      <w:proofErr w:type="spellStart"/>
      <w:r w:rsidR="0012304A" w:rsidRPr="00067BD2">
        <w:t>daerah</w:t>
      </w:r>
      <w:proofErr w:type="spellEnd"/>
      <w:r w:rsidR="0012304A" w:rsidRPr="00067BD2">
        <w:t xml:space="preserve">, </w:t>
      </w:r>
      <w:proofErr w:type="spellStart"/>
      <w:r w:rsidR="0012304A" w:rsidRPr="00067BD2">
        <w:t>khususnya</w:t>
      </w:r>
      <w:proofErr w:type="spellEnd"/>
      <w:r w:rsidR="0012304A" w:rsidRPr="00067BD2">
        <w:t xml:space="preserve"> </w:t>
      </w:r>
      <w:proofErr w:type="spellStart"/>
      <w:r w:rsidR="0012304A" w:rsidRPr="00067BD2">
        <w:t>lagi</w:t>
      </w:r>
      <w:proofErr w:type="spellEnd"/>
      <w:r w:rsidR="0012304A" w:rsidRPr="00067BD2">
        <w:t xml:space="preserve"> </w:t>
      </w:r>
      <w:proofErr w:type="spellStart"/>
      <w:r w:rsidR="0012304A" w:rsidRPr="00067BD2">
        <w:t>mengenai</w:t>
      </w:r>
      <w:proofErr w:type="spellEnd"/>
      <w:r w:rsidR="0012304A" w:rsidRPr="00067BD2">
        <w:t xml:space="preserve"> </w:t>
      </w:r>
      <w:proofErr w:type="spellStart"/>
      <w:r w:rsidR="0012304A" w:rsidRPr="00067BD2">
        <w:t>perimbangan</w:t>
      </w:r>
      <w:proofErr w:type="spellEnd"/>
      <w:r w:rsidR="0012304A" w:rsidRPr="00067BD2">
        <w:t xml:space="preserve"> </w:t>
      </w:r>
      <w:proofErr w:type="spellStart"/>
      <w:r w:rsidR="0012304A" w:rsidRPr="00067BD2">
        <w:t>keuangan</w:t>
      </w:r>
      <w:proofErr w:type="spellEnd"/>
      <w:r w:rsidR="0012304A" w:rsidRPr="00067BD2">
        <w:t xml:space="preserve"> yang </w:t>
      </w:r>
      <w:proofErr w:type="spellStart"/>
      <w:r w:rsidR="0012304A" w:rsidRPr="00067BD2">
        <w:t>menyangkut</w:t>
      </w:r>
      <w:proofErr w:type="spellEnd"/>
      <w:r w:rsidR="0012304A" w:rsidRPr="00067BD2">
        <w:t xml:space="preserve"> </w:t>
      </w:r>
      <w:proofErr w:type="spellStart"/>
      <w:r w:rsidR="0012304A" w:rsidRPr="00067BD2">
        <w:t>pembagian</w:t>
      </w:r>
      <w:proofErr w:type="spellEnd"/>
      <w:r w:rsidR="0012304A" w:rsidRPr="00067BD2">
        <w:t xml:space="preserve"> </w:t>
      </w:r>
      <w:proofErr w:type="spellStart"/>
      <w:r w:rsidR="0012304A" w:rsidRPr="00067BD2">
        <w:t>hasil</w:t>
      </w:r>
      <w:proofErr w:type="spellEnd"/>
      <w:r w:rsidR="0012304A" w:rsidRPr="00067BD2">
        <w:t xml:space="preserve"> </w:t>
      </w:r>
      <w:proofErr w:type="spellStart"/>
      <w:r w:rsidR="0012304A" w:rsidRPr="00067BD2">
        <w:t>pemanfaatan</w:t>
      </w:r>
      <w:proofErr w:type="spellEnd"/>
      <w:r w:rsidR="0012304A" w:rsidRPr="00067BD2">
        <w:t xml:space="preserve"> </w:t>
      </w:r>
      <w:proofErr w:type="spellStart"/>
      <w:r w:rsidR="0012304A" w:rsidRPr="00067BD2">
        <w:t>sumber</w:t>
      </w:r>
      <w:proofErr w:type="spellEnd"/>
      <w:r w:rsidR="0012304A" w:rsidRPr="00067BD2">
        <w:t xml:space="preserve"> </w:t>
      </w:r>
      <w:proofErr w:type="spellStart"/>
      <w:r w:rsidR="0012304A" w:rsidRPr="00067BD2">
        <w:t>daya</w:t>
      </w:r>
      <w:proofErr w:type="spellEnd"/>
      <w:r w:rsidR="0012304A" w:rsidRPr="00067BD2">
        <w:t xml:space="preserve"> </w:t>
      </w:r>
      <w:proofErr w:type="spellStart"/>
      <w:r w:rsidR="0012304A" w:rsidRPr="00067BD2">
        <w:t>alam</w:t>
      </w:r>
      <w:proofErr w:type="spellEnd"/>
      <w:r w:rsidR="0012304A" w:rsidRPr="00067BD2">
        <w:t xml:space="preserve"> yang </w:t>
      </w:r>
      <w:proofErr w:type="spellStart"/>
      <w:r w:rsidR="0012304A" w:rsidRPr="00067BD2">
        <w:t>ada</w:t>
      </w:r>
      <w:proofErr w:type="spellEnd"/>
      <w:r w:rsidR="0012304A" w:rsidRPr="00067BD2">
        <w:t xml:space="preserve"> di </w:t>
      </w:r>
      <w:proofErr w:type="spellStart"/>
      <w:r w:rsidR="0012304A" w:rsidRPr="00067BD2">
        <w:t>daerah</w:t>
      </w:r>
      <w:proofErr w:type="spellEnd"/>
      <w:r w:rsidR="0012304A" w:rsidRPr="00067BD2">
        <w:t xml:space="preserve">   </w:t>
      </w:r>
      <w:r w:rsidR="006244C2">
        <w:t>(</w:t>
      </w:r>
      <w:hyperlink r:id="rId8" w:history="1">
        <w:r w:rsidR="006244C2" w:rsidRPr="00067BD2">
          <w:rPr>
            <w:rStyle w:val="Hyperlink"/>
            <w:bCs/>
          </w:rPr>
          <w:t>salmantabir.wordpress.com</w:t>
        </w:r>
      </w:hyperlink>
      <w:r w:rsidR="006244C2">
        <w:rPr>
          <w:rStyle w:val="Hyperlink"/>
          <w:bCs/>
          <w:color w:val="auto"/>
        </w:rPr>
        <w:t>)</w:t>
      </w:r>
    </w:p>
    <w:p w:rsidR="006244C2" w:rsidRPr="006244C2" w:rsidRDefault="006244C2" w:rsidP="00DE4C07">
      <w:pPr>
        <w:pStyle w:val="ListParagraph"/>
        <w:spacing w:line="480" w:lineRule="auto"/>
        <w:ind w:left="446" w:firstLine="720"/>
        <w:jc w:val="both"/>
        <w:rPr>
          <w:bCs/>
          <w:color w:val="0563C1" w:themeColor="hyperlink"/>
          <w:u w:val="single"/>
        </w:rPr>
      </w:pPr>
    </w:p>
    <w:p w:rsidR="00FB167E" w:rsidRPr="00DD70E5" w:rsidRDefault="006244C2" w:rsidP="00DE4C07">
      <w:pPr>
        <w:spacing w:line="480" w:lineRule="auto"/>
        <w:ind w:left="446" w:firstLine="738"/>
        <w:jc w:val="both"/>
        <w:rPr>
          <w:lang w:val="id-ID"/>
        </w:rPr>
      </w:pPr>
      <w:proofErr w:type="spellStart"/>
      <w:r>
        <w:rPr>
          <w:lang w:val="en-US"/>
        </w:rPr>
        <w:lastRenderedPageBreak/>
        <w:t>B</w:t>
      </w:r>
      <w:r w:rsidR="00FB167E" w:rsidRPr="00DD70E5">
        <w:rPr>
          <w:lang w:val="en-US"/>
        </w:rPr>
        <w:t>elanja</w:t>
      </w:r>
      <w:proofErr w:type="spellEnd"/>
      <w:r w:rsidR="00FB167E" w:rsidRPr="00DD70E5">
        <w:rPr>
          <w:lang w:val="en-US"/>
        </w:rPr>
        <w:t xml:space="preserve"> </w:t>
      </w:r>
      <w:proofErr w:type="spellStart"/>
      <w:r w:rsidR="00FB167E" w:rsidRPr="00DD70E5">
        <w:rPr>
          <w:lang w:val="en-US"/>
        </w:rPr>
        <w:t>daerah</w:t>
      </w:r>
      <w:proofErr w:type="spellEnd"/>
      <w:r w:rsidR="00FB167E" w:rsidRPr="00DD70E5">
        <w:rPr>
          <w:lang w:val="en-US"/>
        </w:rPr>
        <w:t xml:space="preserve"> </w:t>
      </w:r>
      <w:r w:rsidR="00FB167E" w:rsidRPr="00DD70E5">
        <w:rPr>
          <w:lang w:val="id-ID"/>
        </w:rPr>
        <w:t xml:space="preserve">merupakan semua pengeluaran daerah dalam periode tahun anggaran tertentu yang menjadi beban daerah. Belanja daerah dipergunakan </w:t>
      </w:r>
      <w:proofErr w:type="spellStart"/>
      <w:r w:rsidR="007B03FD" w:rsidRPr="00DD70E5">
        <w:rPr>
          <w:lang w:val="en-US"/>
        </w:rPr>
        <w:t>untuk</w:t>
      </w:r>
      <w:proofErr w:type="spellEnd"/>
      <w:r w:rsidR="007B03FD" w:rsidRPr="00DD70E5">
        <w:rPr>
          <w:lang w:val="en-US"/>
        </w:rPr>
        <w:t xml:space="preserve"> </w:t>
      </w:r>
      <w:proofErr w:type="spellStart"/>
      <w:r w:rsidR="007B03FD" w:rsidRPr="00DD70E5">
        <w:rPr>
          <w:lang w:val="en-US"/>
        </w:rPr>
        <w:t>membiayai</w:t>
      </w:r>
      <w:proofErr w:type="spellEnd"/>
      <w:r w:rsidR="007B03FD" w:rsidRPr="00DD70E5">
        <w:rPr>
          <w:lang w:val="en-US"/>
        </w:rPr>
        <w:t xml:space="preserve"> </w:t>
      </w:r>
      <w:r w:rsidR="00FB167E" w:rsidRPr="00DD70E5">
        <w:rPr>
          <w:lang w:val="id-ID"/>
        </w:rPr>
        <w:t>pelaksanaan urusan pemerintah yang menjadi  kewenangan provinsi atau kabupaten/kota yang terdiri dari ur</w:t>
      </w:r>
      <w:r w:rsidR="007B03FD" w:rsidRPr="00DD70E5">
        <w:rPr>
          <w:lang w:val="id-ID"/>
        </w:rPr>
        <w:t xml:space="preserve">usan wajib, urusan pilihan dan </w:t>
      </w:r>
      <w:r w:rsidR="00FB167E" w:rsidRPr="00DD70E5">
        <w:rPr>
          <w:lang w:val="id-ID"/>
        </w:rPr>
        <w:t xml:space="preserve">urusan </w:t>
      </w:r>
      <w:proofErr w:type="spellStart"/>
      <w:r w:rsidR="007B03FD" w:rsidRPr="00DD70E5">
        <w:rPr>
          <w:lang w:val="en-US"/>
        </w:rPr>
        <w:t>dalam</w:t>
      </w:r>
      <w:proofErr w:type="spellEnd"/>
      <w:r w:rsidR="007B03FD" w:rsidRPr="00DD70E5">
        <w:rPr>
          <w:lang w:val="en-US"/>
        </w:rPr>
        <w:t xml:space="preserve"> </w:t>
      </w:r>
      <w:r w:rsidR="00FB167E" w:rsidRPr="00DD70E5">
        <w:rPr>
          <w:lang w:val="id-ID"/>
        </w:rPr>
        <w:t>bidang tertentu yang dapat dilaksanakan bersama antara pemerintah</w:t>
      </w:r>
      <w:r w:rsidR="007B03FD" w:rsidRPr="00DD70E5">
        <w:rPr>
          <w:lang w:val="en-US"/>
        </w:rPr>
        <w:t xml:space="preserve"> </w:t>
      </w:r>
      <w:proofErr w:type="spellStart"/>
      <w:r w:rsidR="007B03FD" w:rsidRPr="00DD70E5">
        <w:rPr>
          <w:lang w:val="en-US"/>
        </w:rPr>
        <w:t>pusat</w:t>
      </w:r>
      <w:proofErr w:type="spellEnd"/>
      <w:r w:rsidR="007B03FD" w:rsidRPr="00DD70E5">
        <w:rPr>
          <w:lang w:val="id-ID"/>
        </w:rPr>
        <w:t xml:space="preserve"> </w:t>
      </w:r>
      <w:r w:rsidR="00FB167E" w:rsidRPr="00DD70E5">
        <w:rPr>
          <w:lang w:val="id-ID"/>
        </w:rPr>
        <w:t>dan pemrintah daerah atau pemerintah daerah yang ditetapkan dengan ketentuan perundangan-undangan.</w:t>
      </w:r>
    </w:p>
    <w:p w:rsidR="00896D22" w:rsidRPr="00DD70E5" w:rsidRDefault="00FB167E" w:rsidP="00DE4C07">
      <w:pPr>
        <w:spacing w:line="480" w:lineRule="auto"/>
        <w:ind w:left="432" w:firstLine="708"/>
        <w:jc w:val="both"/>
        <w:rPr>
          <w:lang w:val="id-ID"/>
        </w:rPr>
      </w:pPr>
      <w:r w:rsidRPr="00DD70E5">
        <w:rPr>
          <w:lang w:val="id-ID"/>
        </w:rPr>
        <w:t>Dalam Peraturan Menteri Dalam Negeri No</w:t>
      </w:r>
      <w:r w:rsidR="00C260DE">
        <w:rPr>
          <w:lang w:val="en-US"/>
        </w:rPr>
        <w:t>.</w:t>
      </w:r>
      <w:r w:rsidRPr="00DD70E5">
        <w:rPr>
          <w:lang w:val="id-ID"/>
        </w:rPr>
        <w:t xml:space="preserve"> </w:t>
      </w:r>
      <w:r w:rsidR="00662333">
        <w:rPr>
          <w:lang w:val="en-US"/>
        </w:rPr>
        <w:t>21</w:t>
      </w:r>
      <w:r w:rsidRPr="00DD70E5">
        <w:rPr>
          <w:lang w:val="id-ID"/>
        </w:rPr>
        <w:t xml:space="preserve"> Tahun 20</w:t>
      </w:r>
      <w:r w:rsidR="00662333">
        <w:rPr>
          <w:lang w:val="en-US"/>
        </w:rPr>
        <w:t>11</w:t>
      </w:r>
      <w:r w:rsidR="00121A7F">
        <w:rPr>
          <w:lang w:val="en-US"/>
        </w:rPr>
        <w:t xml:space="preserve"> </w:t>
      </w:r>
      <w:proofErr w:type="spellStart"/>
      <w:r w:rsidR="00121A7F">
        <w:rPr>
          <w:lang w:val="en-US"/>
        </w:rPr>
        <w:t>tentang</w:t>
      </w:r>
      <w:proofErr w:type="spellEnd"/>
      <w:r w:rsidR="00121A7F">
        <w:rPr>
          <w:lang w:val="en-US"/>
        </w:rPr>
        <w:t xml:space="preserve"> </w:t>
      </w:r>
      <w:proofErr w:type="spellStart"/>
      <w:r w:rsidR="00121A7F">
        <w:rPr>
          <w:lang w:val="en-US"/>
        </w:rPr>
        <w:t>perubahan</w:t>
      </w:r>
      <w:proofErr w:type="spellEnd"/>
      <w:r w:rsidR="00121A7F">
        <w:rPr>
          <w:lang w:val="en-US"/>
        </w:rPr>
        <w:t xml:space="preserve"> </w:t>
      </w:r>
      <w:proofErr w:type="spellStart"/>
      <w:r w:rsidR="00121A7F">
        <w:rPr>
          <w:lang w:val="en-US"/>
        </w:rPr>
        <w:t>kedua</w:t>
      </w:r>
      <w:proofErr w:type="spellEnd"/>
      <w:r w:rsidR="00121A7F">
        <w:rPr>
          <w:lang w:val="en-US"/>
        </w:rPr>
        <w:t xml:space="preserve"> </w:t>
      </w:r>
      <w:proofErr w:type="spellStart"/>
      <w:r w:rsidR="00121A7F">
        <w:rPr>
          <w:lang w:val="en-US"/>
        </w:rPr>
        <w:t>atas</w:t>
      </w:r>
      <w:proofErr w:type="spellEnd"/>
      <w:r w:rsidR="00121A7F">
        <w:rPr>
          <w:lang w:val="en-US"/>
        </w:rPr>
        <w:t xml:space="preserve"> </w:t>
      </w:r>
      <w:r w:rsidR="00121A7F" w:rsidRPr="00DD70E5">
        <w:rPr>
          <w:lang w:val="id-ID"/>
        </w:rPr>
        <w:t>Peraturan Menteri Dalam Negeri No</w:t>
      </w:r>
      <w:r w:rsidR="00121A7F">
        <w:rPr>
          <w:lang w:val="en-US"/>
        </w:rPr>
        <w:t xml:space="preserve">. 13 </w:t>
      </w:r>
      <w:proofErr w:type="spellStart"/>
      <w:r w:rsidR="00121A7F">
        <w:rPr>
          <w:lang w:val="en-US"/>
        </w:rPr>
        <w:t>Tahun</w:t>
      </w:r>
      <w:proofErr w:type="spellEnd"/>
      <w:r w:rsidR="00121A7F">
        <w:rPr>
          <w:lang w:val="en-US"/>
        </w:rPr>
        <w:t xml:space="preserve"> 2006</w:t>
      </w:r>
      <w:r w:rsidRPr="00DD70E5">
        <w:rPr>
          <w:lang w:val="id-ID"/>
        </w:rPr>
        <w:t xml:space="preserve"> pasal 25 disebutkan, sumber pendapatan daerah yang digunakan untuk membiayai belanja daerah adalah (1) Pendapatan asli daerah (PAD), (2) Dana Perimbangan, (3) Lain-lain penerimaan yang sah. </w:t>
      </w:r>
      <w:proofErr w:type="spellStart"/>
      <w:r w:rsidR="0091638C">
        <w:rPr>
          <w:lang w:val="en-US"/>
        </w:rPr>
        <w:t>Menurut</w:t>
      </w:r>
      <w:proofErr w:type="spellEnd"/>
      <w:r w:rsidR="0091638C">
        <w:rPr>
          <w:lang w:val="en-US"/>
        </w:rPr>
        <w:t xml:space="preserve"> </w:t>
      </w:r>
      <w:proofErr w:type="spellStart"/>
      <w:r w:rsidR="0091638C">
        <w:rPr>
          <w:lang w:val="en-US"/>
        </w:rPr>
        <w:t>Yani</w:t>
      </w:r>
      <w:proofErr w:type="spellEnd"/>
      <w:r w:rsidR="0091638C">
        <w:rPr>
          <w:lang w:val="en-US"/>
        </w:rPr>
        <w:t xml:space="preserve"> (</w:t>
      </w:r>
      <w:r w:rsidR="001E467D">
        <w:rPr>
          <w:lang w:val="en-US"/>
        </w:rPr>
        <w:t xml:space="preserve">2013) </w:t>
      </w:r>
      <w:r w:rsidRPr="00DD70E5">
        <w:rPr>
          <w:lang w:val="id-ID"/>
        </w:rPr>
        <w:t>faktor yang berpengaruh positif terhadap pengeluaran pemerintah daerah adalah (1) Pendapatan Asli Daerah (PAD), (2) Dana Perimbangan, (3) Pengeluaran pemerintah daerah tahun sebelumnya</w:t>
      </w:r>
      <w:r w:rsidR="001E467D">
        <w:rPr>
          <w:lang w:val="en-US"/>
        </w:rPr>
        <w:t xml:space="preserve">, </w:t>
      </w:r>
      <w:r w:rsidR="00896D22" w:rsidRPr="00DD70E5">
        <w:rPr>
          <w:lang w:val="id-ID"/>
        </w:rPr>
        <w:t xml:space="preserve">dengan PAD yang tinggi maka belanja daerah akan semakin besar salah satunya dengan meningkatnya subsidi pemerintah daerah </w:t>
      </w:r>
      <w:r w:rsidR="00BA1117">
        <w:rPr>
          <w:lang w:val="id-ID"/>
        </w:rPr>
        <w:t>kepada masyarakat lapisan bawah).</w:t>
      </w:r>
    </w:p>
    <w:p w:rsidR="009B05ED" w:rsidRDefault="00870EEE" w:rsidP="00DE4C07">
      <w:pPr>
        <w:spacing w:line="480" w:lineRule="auto"/>
        <w:ind w:left="432" w:firstLine="708"/>
        <w:jc w:val="both"/>
        <w:rPr>
          <w:lang w:val="id-ID"/>
        </w:rPr>
      </w:pPr>
      <w:r w:rsidRPr="00DD70E5">
        <w:rPr>
          <w:lang w:val="id-ID"/>
        </w:rPr>
        <w:t>Pendapata</w:t>
      </w:r>
      <w:r w:rsidR="00BE3421">
        <w:rPr>
          <w:lang w:val="id-ID"/>
        </w:rPr>
        <w:t>n asli daerah (PAD) menurut UU</w:t>
      </w:r>
      <w:r w:rsidRPr="00DD70E5">
        <w:rPr>
          <w:lang w:val="id-ID"/>
        </w:rPr>
        <w:t xml:space="preserve"> No. 34 Tahun 2000 adalah semua penerimaan daerah yang berasal dari sumber ekonomi asli daerah. PAD merupakan usaha daerah guna memperkecil ketergantungan dalam mendapatkan dana dari pemerintah (subsidi). PAD terdiri dari pajak, retribusi daerah, pengelolaan kekayaan daerah yang dipisahkan, dan lain-lain </w:t>
      </w:r>
      <w:r w:rsidRPr="00DD70E5">
        <w:rPr>
          <w:lang w:val="id-ID"/>
        </w:rPr>
        <w:lastRenderedPageBreak/>
        <w:t>penerimaan yang sah. Sehingga dengan demikian keberhasilan pengguna dana tersebut dit</w:t>
      </w:r>
      <w:r w:rsidR="009B05ED">
        <w:rPr>
          <w:lang w:val="id-ID"/>
        </w:rPr>
        <w:t>entukan oleh pemerintah daerah.</w:t>
      </w:r>
    </w:p>
    <w:p w:rsidR="00052206" w:rsidRPr="009B05ED" w:rsidRDefault="00E051D4" w:rsidP="00DE4C07">
      <w:pPr>
        <w:spacing w:line="480" w:lineRule="auto"/>
        <w:ind w:left="432" w:firstLine="708"/>
        <w:jc w:val="both"/>
        <w:rPr>
          <w:lang w:val="id-ID"/>
        </w:rPr>
      </w:pPr>
      <w:proofErr w:type="spellStart"/>
      <w:r w:rsidRPr="00DD70E5">
        <w:rPr>
          <w:lang w:val="en-US"/>
        </w:rPr>
        <w:t>Dalam</w:t>
      </w:r>
      <w:proofErr w:type="spellEnd"/>
      <w:r w:rsidRPr="00DD70E5">
        <w:rPr>
          <w:lang w:val="en-US"/>
        </w:rPr>
        <w:t xml:space="preserve"> </w:t>
      </w:r>
      <w:proofErr w:type="spellStart"/>
      <w:r w:rsidRPr="00DD70E5">
        <w:rPr>
          <w:lang w:val="en-US"/>
        </w:rPr>
        <w:t>realisasinya</w:t>
      </w:r>
      <w:proofErr w:type="spellEnd"/>
      <w:r w:rsidR="00546F82">
        <w:rPr>
          <w:lang w:val="en-US"/>
        </w:rPr>
        <w:t xml:space="preserve">, </w:t>
      </w:r>
      <w:proofErr w:type="spellStart"/>
      <w:r w:rsidR="00546F82">
        <w:rPr>
          <w:lang w:val="en-US"/>
        </w:rPr>
        <w:t>terdapat</w:t>
      </w:r>
      <w:proofErr w:type="spellEnd"/>
      <w:r w:rsidR="00546F82">
        <w:rPr>
          <w:lang w:val="en-US"/>
        </w:rPr>
        <w:t xml:space="preserve"> </w:t>
      </w:r>
      <w:proofErr w:type="spellStart"/>
      <w:r w:rsidR="00546F82">
        <w:rPr>
          <w:lang w:val="en-US"/>
        </w:rPr>
        <w:t>beberapa</w:t>
      </w:r>
      <w:proofErr w:type="spellEnd"/>
      <w:r w:rsidR="00546F82">
        <w:rPr>
          <w:lang w:val="en-US"/>
        </w:rPr>
        <w:t xml:space="preserve"> </w:t>
      </w:r>
      <w:proofErr w:type="spellStart"/>
      <w:r w:rsidR="00546F82">
        <w:rPr>
          <w:lang w:val="en-US"/>
        </w:rPr>
        <w:t>perkiraan</w:t>
      </w:r>
      <w:proofErr w:type="spellEnd"/>
      <w:r w:rsidR="00546F82">
        <w:rPr>
          <w:lang w:val="en-US"/>
        </w:rPr>
        <w:t xml:space="preserve"> </w:t>
      </w:r>
      <w:proofErr w:type="spellStart"/>
      <w:r w:rsidR="00546F82">
        <w:rPr>
          <w:lang w:val="en-US"/>
        </w:rPr>
        <w:t>mengenai</w:t>
      </w:r>
      <w:proofErr w:type="spellEnd"/>
      <w:r w:rsidR="00546F82">
        <w:rPr>
          <w:lang w:val="en-US"/>
        </w:rPr>
        <w:t xml:space="preserve"> </w:t>
      </w:r>
      <w:proofErr w:type="spellStart"/>
      <w:r w:rsidR="00546F82">
        <w:rPr>
          <w:lang w:val="en-US"/>
        </w:rPr>
        <w:t>Pendapatan</w:t>
      </w:r>
      <w:proofErr w:type="spellEnd"/>
      <w:r w:rsidR="00546F82">
        <w:rPr>
          <w:lang w:val="en-US"/>
        </w:rPr>
        <w:t xml:space="preserve"> </w:t>
      </w:r>
      <w:proofErr w:type="spellStart"/>
      <w:r w:rsidR="00546F82">
        <w:rPr>
          <w:lang w:val="en-US"/>
        </w:rPr>
        <w:t>Asli</w:t>
      </w:r>
      <w:proofErr w:type="spellEnd"/>
      <w:r w:rsidR="00546F82">
        <w:rPr>
          <w:lang w:val="en-US"/>
        </w:rPr>
        <w:t xml:space="preserve"> Daerah (PAD)</w:t>
      </w:r>
      <w:r w:rsidRPr="00DD70E5">
        <w:rPr>
          <w:lang w:val="en-US"/>
        </w:rPr>
        <w:t xml:space="preserve">. </w:t>
      </w:r>
      <w:proofErr w:type="spellStart"/>
      <w:r w:rsidRPr="00DD70E5">
        <w:rPr>
          <w:lang w:val="en-US"/>
        </w:rPr>
        <w:t>Seperti</w:t>
      </w:r>
      <w:proofErr w:type="spellEnd"/>
      <w:r w:rsidRPr="00DD70E5">
        <w:rPr>
          <w:lang w:val="en-US"/>
        </w:rPr>
        <w:t xml:space="preserve"> </w:t>
      </w:r>
      <w:proofErr w:type="spellStart"/>
      <w:r w:rsidR="00052206" w:rsidRPr="00DD70E5">
        <w:rPr>
          <w:lang w:val="en-US"/>
        </w:rPr>
        <w:t>terjadinya</w:t>
      </w:r>
      <w:proofErr w:type="spellEnd"/>
      <w:r w:rsidR="00052206" w:rsidRPr="00DD70E5">
        <w:rPr>
          <w:lang w:val="en-US"/>
        </w:rPr>
        <w:t xml:space="preserve"> </w:t>
      </w:r>
      <w:proofErr w:type="spellStart"/>
      <w:r w:rsidR="00052206" w:rsidRPr="00DD70E5">
        <w:rPr>
          <w:lang w:val="en-US"/>
        </w:rPr>
        <w:t>perkiraan</w:t>
      </w:r>
      <w:proofErr w:type="spellEnd"/>
      <w:r w:rsidR="00052206" w:rsidRPr="00DD70E5">
        <w:rPr>
          <w:lang w:val="en-US"/>
        </w:rPr>
        <w:t xml:space="preserve"> </w:t>
      </w:r>
      <w:proofErr w:type="spellStart"/>
      <w:r w:rsidR="00052206" w:rsidRPr="00DD70E5">
        <w:rPr>
          <w:lang w:val="en-US"/>
        </w:rPr>
        <w:t>penurunan</w:t>
      </w:r>
      <w:proofErr w:type="spellEnd"/>
      <w:r w:rsidR="00052206" w:rsidRPr="00DD70E5">
        <w:rPr>
          <w:lang w:val="en-US"/>
        </w:rPr>
        <w:t xml:space="preserve"> PAD </w:t>
      </w:r>
      <w:proofErr w:type="spellStart"/>
      <w:r w:rsidR="00052206" w:rsidRPr="00DD70E5">
        <w:rPr>
          <w:lang w:val="en-US"/>
        </w:rPr>
        <w:t>Sumbar</w:t>
      </w:r>
      <w:proofErr w:type="spellEnd"/>
      <w:r w:rsidR="00052206" w:rsidRPr="00DD70E5">
        <w:rPr>
          <w:lang w:val="en-US"/>
        </w:rPr>
        <w:t xml:space="preserve"> </w:t>
      </w:r>
      <w:proofErr w:type="spellStart"/>
      <w:r w:rsidR="00052206" w:rsidRPr="00DD70E5">
        <w:rPr>
          <w:lang w:val="en-US"/>
        </w:rPr>
        <w:t>pada</w:t>
      </w:r>
      <w:proofErr w:type="spellEnd"/>
      <w:r w:rsidR="00052206" w:rsidRPr="00DD70E5">
        <w:rPr>
          <w:lang w:val="en-US"/>
        </w:rPr>
        <w:t xml:space="preserve"> </w:t>
      </w:r>
      <w:proofErr w:type="spellStart"/>
      <w:r w:rsidR="00052206" w:rsidRPr="00DD70E5">
        <w:rPr>
          <w:lang w:val="en-US"/>
        </w:rPr>
        <w:t>tahun</w:t>
      </w:r>
      <w:proofErr w:type="spellEnd"/>
      <w:r w:rsidR="00052206" w:rsidRPr="00DD70E5">
        <w:rPr>
          <w:lang w:val="en-US"/>
        </w:rPr>
        <w:t xml:space="preserve"> </w:t>
      </w:r>
      <w:proofErr w:type="spellStart"/>
      <w:r w:rsidR="00052206" w:rsidRPr="00DD70E5">
        <w:rPr>
          <w:lang w:val="en-US"/>
        </w:rPr>
        <w:t>anggara</w:t>
      </w:r>
      <w:r w:rsidR="0091638C">
        <w:rPr>
          <w:lang w:val="en-US"/>
        </w:rPr>
        <w:t>n</w:t>
      </w:r>
      <w:proofErr w:type="spellEnd"/>
      <w:r w:rsidR="00052206" w:rsidRPr="00DD70E5">
        <w:rPr>
          <w:lang w:val="en-US"/>
        </w:rPr>
        <w:t xml:space="preserve"> 2012 yang </w:t>
      </w:r>
      <w:proofErr w:type="spellStart"/>
      <w:r w:rsidR="00052206" w:rsidRPr="00DD70E5">
        <w:rPr>
          <w:lang w:val="en-US"/>
        </w:rPr>
        <w:t>disebabkan</w:t>
      </w:r>
      <w:proofErr w:type="spellEnd"/>
      <w:r w:rsidR="00052206" w:rsidRPr="00DD70E5">
        <w:rPr>
          <w:lang w:val="en-US"/>
        </w:rPr>
        <w:t xml:space="preserve"> </w:t>
      </w:r>
      <w:proofErr w:type="spellStart"/>
      <w:r w:rsidR="00052206" w:rsidRPr="00DD70E5">
        <w:rPr>
          <w:lang w:val="en-US"/>
        </w:rPr>
        <w:t>menurunnya</w:t>
      </w:r>
      <w:proofErr w:type="spellEnd"/>
      <w:r w:rsidR="00052206" w:rsidRPr="00DD70E5">
        <w:rPr>
          <w:lang w:val="en-US"/>
        </w:rPr>
        <w:t xml:space="preserve"> </w:t>
      </w:r>
      <w:proofErr w:type="spellStart"/>
      <w:r w:rsidR="00052206" w:rsidRPr="00DD70E5">
        <w:rPr>
          <w:lang w:val="en-US"/>
        </w:rPr>
        <w:t>Pajak</w:t>
      </w:r>
      <w:proofErr w:type="spellEnd"/>
      <w:r w:rsidR="00052206" w:rsidRPr="00DD70E5">
        <w:rPr>
          <w:lang w:val="en-US"/>
        </w:rPr>
        <w:t xml:space="preserve"> Bea </w:t>
      </w:r>
      <w:proofErr w:type="spellStart"/>
      <w:r w:rsidR="00052206" w:rsidRPr="00DD70E5">
        <w:rPr>
          <w:lang w:val="en-US"/>
        </w:rPr>
        <w:t>Balik</w:t>
      </w:r>
      <w:proofErr w:type="spellEnd"/>
      <w:r w:rsidR="00052206" w:rsidRPr="00DD70E5">
        <w:rPr>
          <w:lang w:val="en-US"/>
        </w:rPr>
        <w:t xml:space="preserve"> </w:t>
      </w:r>
      <w:proofErr w:type="spellStart"/>
      <w:r w:rsidR="00052206" w:rsidRPr="00DD70E5">
        <w:rPr>
          <w:lang w:val="en-US"/>
        </w:rPr>
        <w:t>Nama</w:t>
      </w:r>
      <w:proofErr w:type="spellEnd"/>
      <w:r w:rsidR="00052206" w:rsidRPr="00DD70E5">
        <w:rPr>
          <w:lang w:val="en-US"/>
        </w:rPr>
        <w:t xml:space="preserve"> </w:t>
      </w:r>
      <w:proofErr w:type="spellStart"/>
      <w:r w:rsidR="00052206" w:rsidRPr="00DD70E5">
        <w:rPr>
          <w:lang w:val="en-US"/>
        </w:rPr>
        <w:t>Kenderaan</w:t>
      </w:r>
      <w:proofErr w:type="spellEnd"/>
      <w:r w:rsidR="00052206" w:rsidRPr="00DD70E5">
        <w:rPr>
          <w:lang w:val="en-US"/>
        </w:rPr>
        <w:t xml:space="preserve"> </w:t>
      </w:r>
      <w:proofErr w:type="spellStart"/>
      <w:r w:rsidR="00052206" w:rsidRPr="00DD70E5">
        <w:rPr>
          <w:lang w:val="en-US"/>
        </w:rPr>
        <w:t>Bermotor</w:t>
      </w:r>
      <w:proofErr w:type="spellEnd"/>
      <w:r w:rsidR="00052206" w:rsidRPr="00DD70E5">
        <w:rPr>
          <w:lang w:val="en-US"/>
        </w:rPr>
        <w:t xml:space="preserve"> (BBNKB) </w:t>
      </w:r>
      <w:proofErr w:type="spellStart"/>
      <w:r w:rsidR="00052206" w:rsidRPr="00DD70E5">
        <w:rPr>
          <w:lang w:val="en-US"/>
        </w:rPr>
        <w:t>akibat</w:t>
      </w:r>
      <w:proofErr w:type="spellEnd"/>
      <w:r w:rsidR="00052206" w:rsidRPr="00DD70E5">
        <w:rPr>
          <w:lang w:val="en-US"/>
        </w:rPr>
        <w:t xml:space="preserve"> </w:t>
      </w:r>
      <w:proofErr w:type="spellStart"/>
      <w:r w:rsidR="00052206" w:rsidRPr="00DD70E5">
        <w:rPr>
          <w:lang w:val="en-US"/>
        </w:rPr>
        <w:t>kebijakan</w:t>
      </w:r>
      <w:proofErr w:type="spellEnd"/>
      <w:r w:rsidR="00052206" w:rsidRPr="00DD70E5">
        <w:rPr>
          <w:lang w:val="en-US"/>
        </w:rPr>
        <w:t xml:space="preserve"> </w:t>
      </w:r>
      <w:proofErr w:type="spellStart"/>
      <w:r w:rsidR="00052206" w:rsidRPr="00DD70E5">
        <w:rPr>
          <w:lang w:val="en-US"/>
        </w:rPr>
        <w:t>baru</w:t>
      </w:r>
      <w:proofErr w:type="spellEnd"/>
      <w:r w:rsidR="00052206" w:rsidRPr="00DD70E5">
        <w:rPr>
          <w:lang w:val="en-US"/>
        </w:rPr>
        <w:t xml:space="preserve"> </w:t>
      </w:r>
      <w:proofErr w:type="spellStart"/>
      <w:r w:rsidR="00052206" w:rsidRPr="00DD70E5">
        <w:rPr>
          <w:lang w:val="en-US"/>
        </w:rPr>
        <w:t>dari</w:t>
      </w:r>
      <w:proofErr w:type="spellEnd"/>
      <w:r w:rsidR="00052206" w:rsidRPr="00DD70E5">
        <w:rPr>
          <w:lang w:val="en-US"/>
        </w:rPr>
        <w:t xml:space="preserve"> Bank Indonesia, </w:t>
      </w:r>
      <w:proofErr w:type="spellStart"/>
      <w:r w:rsidR="00052206" w:rsidRPr="00DD70E5">
        <w:rPr>
          <w:lang w:val="en-US"/>
        </w:rPr>
        <w:t>jadi</w:t>
      </w:r>
      <w:proofErr w:type="spellEnd"/>
      <w:r w:rsidR="00052206" w:rsidRPr="00DD70E5">
        <w:rPr>
          <w:lang w:val="en-US"/>
        </w:rPr>
        <w:t xml:space="preserve"> </w:t>
      </w:r>
      <w:proofErr w:type="spellStart"/>
      <w:r w:rsidR="00052206" w:rsidRPr="00DD70E5">
        <w:rPr>
          <w:lang w:val="en-US"/>
        </w:rPr>
        <w:t>S</w:t>
      </w:r>
      <w:r w:rsidR="00546F82">
        <w:rPr>
          <w:lang w:val="en-US"/>
        </w:rPr>
        <w:t>umbar</w:t>
      </w:r>
      <w:proofErr w:type="spellEnd"/>
      <w:r w:rsidR="00546F82">
        <w:rPr>
          <w:lang w:val="en-US"/>
        </w:rPr>
        <w:t xml:space="preserve"> </w:t>
      </w:r>
      <w:proofErr w:type="spellStart"/>
      <w:r w:rsidR="00546F82">
        <w:rPr>
          <w:lang w:val="en-US"/>
        </w:rPr>
        <w:t>tidak</w:t>
      </w:r>
      <w:proofErr w:type="spellEnd"/>
      <w:r w:rsidR="00546F82">
        <w:rPr>
          <w:lang w:val="en-US"/>
        </w:rPr>
        <w:t xml:space="preserve"> </w:t>
      </w:r>
      <w:proofErr w:type="spellStart"/>
      <w:r w:rsidR="00546F82">
        <w:rPr>
          <w:lang w:val="en-US"/>
        </w:rPr>
        <w:t>bisa</w:t>
      </w:r>
      <w:proofErr w:type="spellEnd"/>
      <w:r w:rsidR="00546F82">
        <w:rPr>
          <w:lang w:val="en-US"/>
        </w:rPr>
        <w:t xml:space="preserve"> </w:t>
      </w:r>
      <w:proofErr w:type="spellStart"/>
      <w:r w:rsidR="00546F82">
        <w:rPr>
          <w:lang w:val="en-US"/>
        </w:rPr>
        <w:t>menghindari</w:t>
      </w:r>
      <w:proofErr w:type="spellEnd"/>
      <w:r w:rsidR="00546F82">
        <w:rPr>
          <w:lang w:val="en-US"/>
        </w:rPr>
        <w:t xml:space="preserve"> </w:t>
      </w:r>
      <w:proofErr w:type="spellStart"/>
      <w:r w:rsidR="00546F82">
        <w:rPr>
          <w:lang w:val="en-US"/>
        </w:rPr>
        <w:t>imb</w:t>
      </w:r>
      <w:r w:rsidR="00052206" w:rsidRPr="00DD70E5">
        <w:rPr>
          <w:lang w:val="en-US"/>
        </w:rPr>
        <w:t>as</w:t>
      </w:r>
      <w:proofErr w:type="spellEnd"/>
      <w:r w:rsidR="00052206" w:rsidRPr="00DD70E5">
        <w:rPr>
          <w:lang w:val="en-US"/>
        </w:rPr>
        <w:t xml:space="preserve"> </w:t>
      </w:r>
      <w:proofErr w:type="spellStart"/>
      <w:r w:rsidR="00052206" w:rsidRPr="00DD70E5">
        <w:rPr>
          <w:lang w:val="en-US"/>
        </w:rPr>
        <w:t>dari</w:t>
      </w:r>
      <w:proofErr w:type="spellEnd"/>
      <w:r w:rsidR="00052206" w:rsidRPr="00DD70E5">
        <w:rPr>
          <w:lang w:val="en-US"/>
        </w:rPr>
        <w:t xml:space="preserve"> </w:t>
      </w:r>
      <w:proofErr w:type="spellStart"/>
      <w:r w:rsidR="00052206" w:rsidRPr="00DD70E5">
        <w:rPr>
          <w:lang w:val="en-US"/>
        </w:rPr>
        <w:t>kebijakan</w:t>
      </w:r>
      <w:proofErr w:type="spellEnd"/>
      <w:r w:rsidR="00052206" w:rsidRPr="00DD70E5">
        <w:rPr>
          <w:lang w:val="en-US"/>
        </w:rPr>
        <w:t xml:space="preserve"> </w:t>
      </w:r>
      <w:proofErr w:type="spellStart"/>
      <w:r w:rsidR="00052206" w:rsidRPr="00DD70E5">
        <w:rPr>
          <w:lang w:val="en-US"/>
        </w:rPr>
        <w:t>tersebut</w:t>
      </w:r>
      <w:proofErr w:type="spellEnd"/>
      <w:r w:rsidR="00052206" w:rsidRPr="00DD70E5">
        <w:rPr>
          <w:lang w:val="en-US"/>
        </w:rPr>
        <w:t>. (</w:t>
      </w:r>
      <w:hyperlink r:id="rId9" w:history="1">
        <w:r w:rsidR="000077A8" w:rsidRPr="00DD70E5">
          <w:rPr>
            <w:rStyle w:val="Hyperlink"/>
          </w:rPr>
          <w:t>http://www.antarasumbar.com</w:t>
        </w:r>
      </w:hyperlink>
      <w:r w:rsidR="00276B28" w:rsidRPr="00DD70E5">
        <w:t xml:space="preserve"> </w:t>
      </w:r>
      <w:r w:rsidR="006B72A5" w:rsidRPr="00DD70E5">
        <w:t xml:space="preserve">: </w:t>
      </w:r>
      <w:r w:rsidR="00276B28" w:rsidRPr="00DD70E5">
        <w:t>19/10/2012</w:t>
      </w:r>
      <w:r w:rsidR="00052206" w:rsidRPr="00DD70E5">
        <w:t>)</w:t>
      </w:r>
      <w:r w:rsidR="005C1702" w:rsidRPr="00DD70E5">
        <w:t xml:space="preserve">. </w:t>
      </w:r>
      <w:proofErr w:type="spellStart"/>
      <w:r w:rsidR="005C1702" w:rsidRPr="00DD70E5">
        <w:t>Tidak</w:t>
      </w:r>
      <w:proofErr w:type="spellEnd"/>
      <w:r w:rsidR="005C1702" w:rsidRPr="00DD70E5">
        <w:t xml:space="preserve"> </w:t>
      </w:r>
      <w:proofErr w:type="spellStart"/>
      <w:r w:rsidR="005C1702" w:rsidRPr="00DD70E5">
        <w:t>hanya</w:t>
      </w:r>
      <w:proofErr w:type="spellEnd"/>
      <w:r w:rsidR="005C1702" w:rsidRPr="00DD70E5">
        <w:t xml:space="preserve"> </w:t>
      </w:r>
      <w:proofErr w:type="spellStart"/>
      <w:r w:rsidR="005C1702" w:rsidRPr="00DD70E5">
        <w:t>itu</w:t>
      </w:r>
      <w:proofErr w:type="spellEnd"/>
      <w:r w:rsidR="005C1702" w:rsidRPr="00DD70E5">
        <w:t xml:space="preserve">, </w:t>
      </w:r>
      <w:proofErr w:type="spellStart"/>
      <w:r w:rsidR="005C1702" w:rsidRPr="00DD70E5">
        <w:t>adanya</w:t>
      </w:r>
      <w:proofErr w:type="spellEnd"/>
      <w:r w:rsidR="005C1702" w:rsidRPr="00DD70E5">
        <w:t xml:space="preserve"> </w:t>
      </w:r>
      <w:proofErr w:type="spellStart"/>
      <w:r w:rsidR="005C1702" w:rsidRPr="00DD70E5">
        <w:t>be</w:t>
      </w:r>
      <w:r w:rsidR="00E51B4C">
        <w:t>berapa</w:t>
      </w:r>
      <w:proofErr w:type="spellEnd"/>
      <w:r w:rsidR="00E51B4C">
        <w:t xml:space="preserve"> </w:t>
      </w:r>
      <w:proofErr w:type="spellStart"/>
      <w:r w:rsidR="00E51B4C">
        <w:t>pandangan</w:t>
      </w:r>
      <w:proofErr w:type="spellEnd"/>
      <w:r w:rsidR="00E51B4C">
        <w:t xml:space="preserve"> </w:t>
      </w:r>
      <w:proofErr w:type="spellStart"/>
      <w:r w:rsidR="00E51B4C">
        <w:t>anggota</w:t>
      </w:r>
      <w:proofErr w:type="spellEnd"/>
      <w:r w:rsidR="00E51B4C">
        <w:t xml:space="preserve"> </w:t>
      </w:r>
      <w:proofErr w:type="spellStart"/>
      <w:r w:rsidR="00E51B4C">
        <w:t>dewan</w:t>
      </w:r>
      <w:proofErr w:type="spellEnd"/>
      <w:r w:rsidR="00E51B4C">
        <w:t xml:space="preserve"> </w:t>
      </w:r>
      <w:r w:rsidR="00546F82">
        <w:t xml:space="preserve">(Hasan </w:t>
      </w:r>
      <w:proofErr w:type="spellStart"/>
      <w:r w:rsidR="00546F82">
        <w:t>Basri</w:t>
      </w:r>
      <w:proofErr w:type="spellEnd"/>
      <w:r w:rsidR="00546F82">
        <w:t xml:space="preserve"> </w:t>
      </w:r>
      <w:proofErr w:type="spellStart"/>
      <w:r w:rsidR="00546F82">
        <w:t>dari</w:t>
      </w:r>
      <w:proofErr w:type="spellEnd"/>
      <w:r w:rsidR="00546F82">
        <w:t xml:space="preserve"> </w:t>
      </w:r>
      <w:proofErr w:type="spellStart"/>
      <w:r w:rsidR="00546F82">
        <w:t>Fraksi</w:t>
      </w:r>
      <w:proofErr w:type="spellEnd"/>
      <w:r w:rsidR="00546F82">
        <w:t xml:space="preserve"> </w:t>
      </w:r>
      <w:proofErr w:type="spellStart"/>
      <w:r w:rsidR="00546F82">
        <w:t>Partai</w:t>
      </w:r>
      <w:proofErr w:type="spellEnd"/>
      <w:r w:rsidR="00546F82">
        <w:t xml:space="preserve"> </w:t>
      </w:r>
      <w:proofErr w:type="spellStart"/>
      <w:r w:rsidR="00546F82">
        <w:t>Amanat</w:t>
      </w:r>
      <w:proofErr w:type="spellEnd"/>
      <w:r w:rsidR="00546F82">
        <w:t xml:space="preserve"> </w:t>
      </w:r>
      <w:proofErr w:type="spellStart"/>
      <w:r w:rsidR="00546F82">
        <w:t>Nasional</w:t>
      </w:r>
      <w:proofErr w:type="spellEnd"/>
      <w:r w:rsidR="00546F82">
        <w:t xml:space="preserve"> </w:t>
      </w:r>
      <w:proofErr w:type="spellStart"/>
      <w:r w:rsidR="00546F82">
        <w:t>dan</w:t>
      </w:r>
      <w:proofErr w:type="spellEnd"/>
      <w:r w:rsidR="00546F82">
        <w:t xml:space="preserve"> </w:t>
      </w:r>
      <w:proofErr w:type="spellStart"/>
      <w:r w:rsidR="00546F82">
        <w:t>Rizka</w:t>
      </w:r>
      <w:proofErr w:type="spellEnd"/>
      <w:r w:rsidR="00546F82">
        <w:t xml:space="preserve"> </w:t>
      </w:r>
      <w:proofErr w:type="spellStart"/>
      <w:r w:rsidR="00546F82">
        <w:t>Purnawan</w:t>
      </w:r>
      <w:proofErr w:type="spellEnd"/>
      <w:r w:rsidR="00546F82">
        <w:t xml:space="preserve"> </w:t>
      </w:r>
      <w:proofErr w:type="spellStart"/>
      <w:r w:rsidR="00546F82">
        <w:t>dari</w:t>
      </w:r>
      <w:proofErr w:type="spellEnd"/>
      <w:r w:rsidR="00546F82">
        <w:t xml:space="preserve"> </w:t>
      </w:r>
      <w:proofErr w:type="spellStart"/>
      <w:r w:rsidR="00546F82">
        <w:t>Fraksi</w:t>
      </w:r>
      <w:proofErr w:type="spellEnd"/>
      <w:r w:rsidR="00546F82">
        <w:t xml:space="preserve"> </w:t>
      </w:r>
      <w:proofErr w:type="spellStart"/>
      <w:r w:rsidR="00546F82">
        <w:t>Partai</w:t>
      </w:r>
      <w:proofErr w:type="spellEnd"/>
      <w:r w:rsidR="00546F82">
        <w:t xml:space="preserve"> </w:t>
      </w:r>
      <w:proofErr w:type="spellStart"/>
      <w:r w:rsidR="00546F82">
        <w:t>Hati</w:t>
      </w:r>
      <w:proofErr w:type="spellEnd"/>
      <w:r w:rsidR="00546F82">
        <w:t xml:space="preserve"> </w:t>
      </w:r>
      <w:proofErr w:type="spellStart"/>
      <w:r w:rsidR="00546F82">
        <w:t>Nurani</w:t>
      </w:r>
      <w:proofErr w:type="spellEnd"/>
      <w:r w:rsidR="00546F82">
        <w:t xml:space="preserve"> Rakyat)</w:t>
      </w:r>
      <w:r w:rsidR="00E51B4C">
        <w:t xml:space="preserve"> </w:t>
      </w:r>
      <w:proofErr w:type="spellStart"/>
      <w:r w:rsidR="005C1702" w:rsidRPr="00DD70E5">
        <w:t>menyoroti</w:t>
      </w:r>
      <w:proofErr w:type="spellEnd"/>
      <w:r w:rsidR="005C1702" w:rsidRPr="00DD70E5">
        <w:t xml:space="preserve"> </w:t>
      </w:r>
      <w:proofErr w:type="spellStart"/>
      <w:r w:rsidR="005C1702" w:rsidRPr="00DD70E5">
        <w:t>tentang</w:t>
      </w:r>
      <w:proofErr w:type="spellEnd"/>
      <w:r w:rsidR="005C1702" w:rsidRPr="00DD70E5">
        <w:t xml:space="preserve"> </w:t>
      </w:r>
      <w:proofErr w:type="spellStart"/>
      <w:r w:rsidR="005C1702" w:rsidRPr="00DD70E5">
        <w:t>penurunan</w:t>
      </w:r>
      <w:proofErr w:type="spellEnd"/>
      <w:r w:rsidR="005C1702" w:rsidRPr="00DD70E5">
        <w:t xml:space="preserve"> target </w:t>
      </w:r>
      <w:proofErr w:type="spellStart"/>
      <w:r w:rsidR="005C1702" w:rsidRPr="00DD70E5">
        <w:t>Pendapatan</w:t>
      </w:r>
      <w:proofErr w:type="spellEnd"/>
      <w:r w:rsidR="005C1702" w:rsidRPr="00DD70E5">
        <w:t xml:space="preserve"> </w:t>
      </w:r>
      <w:proofErr w:type="spellStart"/>
      <w:r w:rsidR="005C1702" w:rsidRPr="00DD70E5">
        <w:t>Asli</w:t>
      </w:r>
      <w:proofErr w:type="spellEnd"/>
      <w:r w:rsidR="005C1702" w:rsidRPr="00DD70E5">
        <w:t xml:space="preserve"> Daerah (PAD) </w:t>
      </w:r>
      <w:proofErr w:type="spellStart"/>
      <w:r w:rsidR="005C1702" w:rsidRPr="00DD70E5">
        <w:t>sebesar</w:t>
      </w:r>
      <w:proofErr w:type="spellEnd"/>
      <w:r w:rsidR="005C1702" w:rsidRPr="00DD70E5">
        <w:t xml:space="preserve"> 6</w:t>
      </w:r>
      <w:proofErr w:type="gramStart"/>
      <w:r w:rsidR="005C1702" w:rsidRPr="00DD70E5">
        <w:t>,20</w:t>
      </w:r>
      <w:proofErr w:type="gramEnd"/>
      <w:r w:rsidR="005C1702" w:rsidRPr="00DD70E5">
        <w:t xml:space="preserve"> %</w:t>
      </w:r>
      <w:r w:rsidR="00E51B4C">
        <w:t xml:space="preserve"> </w:t>
      </w:r>
      <w:proofErr w:type="spellStart"/>
      <w:r w:rsidR="00E51B4C">
        <w:t>pada</w:t>
      </w:r>
      <w:proofErr w:type="spellEnd"/>
      <w:r w:rsidR="00E51B4C">
        <w:t xml:space="preserve"> </w:t>
      </w:r>
      <w:proofErr w:type="spellStart"/>
      <w:r w:rsidR="00E51B4C">
        <w:t>Kabupaten</w:t>
      </w:r>
      <w:proofErr w:type="spellEnd"/>
      <w:r w:rsidR="00E51B4C">
        <w:t xml:space="preserve"> </w:t>
      </w:r>
      <w:proofErr w:type="spellStart"/>
      <w:r w:rsidR="00E51B4C">
        <w:t>Langkat</w:t>
      </w:r>
      <w:proofErr w:type="spellEnd"/>
      <w:r w:rsidR="005C1702" w:rsidRPr="00DD70E5">
        <w:t xml:space="preserve">. </w:t>
      </w:r>
      <w:proofErr w:type="spellStart"/>
      <w:r w:rsidR="005C1702" w:rsidRPr="00DD70E5">
        <w:t>Dimana</w:t>
      </w:r>
      <w:proofErr w:type="spellEnd"/>
      <w:r w:rsidR="005C1702" w:rsidRPr="00DD70E5">
        <w:t xml:space="preserve"> </w:t>
      </w:r>
      <w:proofErr w:type="spellStart"/>
      <w:r w:rsidR="005C1702" w:rsidRPr="00DD70E5">
        <w:t>penurunan</w:t>
      </w:r>
      <w:proofErr w:type="spellEnd"/>
      <w:r w:rsidR="005C1702" w:rsidRPr="00DD70E5">
        <w:t xml:space="preserve"> </w:t>
      </w:r>
      <w:proofErr w:type="spellStart"/>
      <w:r w:rsidR="005C1702" w:rsidRPr="00DD70E5">
        <w:t>ini</w:t>
      </w:r>
      <w:proofErr w:type="spellEnd"/>
      <w:r w:rsidR="005C1702" w:rsidRPr="00DD70E5">
        <w:t xml:space="preserve"> </w:t>
      </w:r>
      <w:proofErr w:type="spellStart"/>
      <w:r w:rsidR="005C1702" w:rsidRPr="00DD70E5">
        <w:t>menunjukkan</w:t>
      </w:r>
      <w:proofErr w:type="spellEnd"/>
      <w:r w:rsidR="005C1702" w:rsidRPr="00DD70E5">
        <w:t xml:space="preserve"> </w:t>
      </w:r>
      <w:proofErr w:type="spellStart"/>
      <w:r w:rsidR="005C1702" w:rsidRPr="00DD70E5">
        <w:t>masih</w:t>
      </w:r>
      <w:proofErr w:type="spellEnd"/>
      <w:r w:rsidR="005C1702" w:rsidRPr="00DD70E5">
        <w:t xml:space="preserve"> </w:t>
      </w:r>
      <w:proofErr w:type="spellStart"/>
      <w:r w:rsidR="005C1702" w:rsidRPr="00DD70E5">
        <w:t>lemahnya</w:t>
      </w:r>
      <w:proofErr w:type="spellEnd"/>
      <w:r w:rsidR="005C1702" w:rsidRPr="00DD70E5">
        <w:t xml:space="preserve"> </w:t>
      </w:r>
      <w:proofErr w:type="spellStart"/>
      <w:r w:rsidR="005C1702" w:rsidRPr="00DD70E5">
        <w:t>sistem</w:t>
      </w:r>
      <w:proofErr w:type="spellEnd"/>
      <w:r w:rsidR="005C1702" w:rsidRPr="00DD70E5">
        <w:t xml:space="preserve"> </w:t>
      </w:r>
      <w:proofErr w:type="spellStart"/>
      <w:r w:rsidR="005C1702" w:rsidRPr="00DD70E5">
        <w:t>pengelolaan</w:t>
      </w:r>
      <w:proofErr w:type="spellEnd"/>
      <w:r w:rsidR="005C1702" w:rsidRPr="00DD70E5">
        <w:t xml:space="preserve"> </w:t>
      </w:r>
      <w:proofErr w:type="spellStart"/>
      <w:r w:rsidR="005C1702" w:rsidRPr="00DD70E5">
        <w:t>dan</w:t>
      </w:r>
      <w:proofErr w:type="spellEnd"/>
      <w:r w:rsidR="005C1702" w:rsidRPr="00DD70E5">
        <w:t xml:space="preserve"> </w:t>
      </w:r>
      <w:proofErr w:type="spellStart"/>
      <w:r w:rsidR="005C1702" w:rsidRPr="00DD70E5">
        <w:t>pendapatan</w:t>
      </w:r>
      <w:proofErr w:type="spellEnd"/>
      <w:r w:rsidR="005C1702" w:rsidRPr="00DD70E5">
        <w:t xml:space="preserve"> </w:t>
      </w:r>
      <w:proofErr w:type="spellStart"/>
      <w:r w:rsidR="005C1702" w:rsidRPr="00DD70E5">
        <w:t>daerah</w:t>
      </w:r>
      <w:proofErr w:type="spellEnd"/>
      <w:r w:rsidR="005C1702" w:rsidRPr="00DD70E5">
        <w:t>. (</w:t>
      </w:r>
      <w:proofErr w:type="spellStart"/>
      <w:r w:rsidR="00971D5A" w:rsidRPr="00D035C8">
        <w:rPr>
          <w:u w:val="single"/>
        </w:rPr>
        <w:t>Waspada</w:t>
      </w:r>
      <w:proofErr w:type="spellEnd"/>
      <w:r w:rsidR="00971D5A" w:rsidRPr="00D035C8">
        <w:rPr>
          <w:u w:val="single"/>
        </w:rPr>
        <w:t xml:space="preserve"> Online, </w:t>
      </w:r>
      <w:proofErr w:type="spellStart"/>
      <w:r w:rsidR="00971D5A" w:rsidRPr="00D035C8">
        <w:rPr>
          <w:u w:val="single"/>
        </w:rPr>
        <w:t>Jumat</w:t>
      </w:r>
      <w:proofErr w:type="spellEnd"/>
      <w:r w:rsidR="00971D5A" w:rsidRPr="00D035C8">
        <w:rPr>
          <w:u w:val="single"/>
        </w:rPr>
        <w:t xml:space="preserve"> 5 September </w:t>
      </w:r>
      <w:proofErr w:type="gramStart"/>
      <w:r w:rsidR="00971D5A" w:rsidRPr="00D035C8">
        <w:rPr>
          <w:u w:val="single"/>
        </w:rPr>
        <w:t>2014 :</w:t>
      </w:r>
      <w:proofErr w:type="gramEnd"/>
      <w:r w:rsidR="00971D5A" w:rsidRPr="00D035C8">
        <w:rPr>
          <w:u w:val="single"/>
        </w:rPr>
        <w:t xml:space="preserve"> 08:14</w:t>
      </w:r>
      <w:r w:rsidR="00971D5A" w:rsidRPr="00DD70E5">
        <w:t>)</w:t>
      </w:r>
      <w:r w:rsidR="00EC5267">
        <w:t>.</w:t>
      </w:r>
    </w:p>
    <w:p w:rsidR="00E051D4" w:rsidRPr="00D035C8" w:rsidRDefault="006B72A5" w:rsidP="00DE4C07">
      <w:pPr>
        <w:spacing w:line="480" w:lineRule="auto"/>
        <w:ind w:left="450" w:firstLine="720"/>
        <w:jc w:val="both"/>
      </w:pPr>
      <w:proofErr w:type="spellStart"/>
      <w:r w:rsidRPr="00DD70E5">
        <w:t>Kemudian</w:t>
      </w:r>
      <w:proofErr w:type="spellEnd"/>
      <w:r w:rsidRPr="00DD70E5">
        <w:t xml:space="preserve"> </w:t>
      </w:r>
      <w:proofErr w:type="spellStart"/>
      <w:r w:rsidRPr="00DD70E5">
        <w:t>permasalahan</w:t>
      </w:r>
      <w:proofErr w:type="spellEnd"/>
      <w:r w:rsidRPr="00DD70E5">
        <w:t xml:space="preserve"> </w:t>
      </w:r>
      <w:proofErr w:type="spellStart"/>
      <w:r w:rsidRPr="00DD70E5">
        <w:t>anggaran</w:t>
      </w:r>
      <w:proofErr w:type="spellEnd"/>
      <w:r w:rsidRPr="00DD70E5">
        <w:t xml:space="preserve"> yang </w:t>
      </w:r>
      <w:proofErr w:type="spellStart"/>
      <w:r w:rsidRPr="00DD70E5">
        <w:t>tidak</w:t>
      </w:r>
      <w:proofErr w:type="spellEnd"/>
      <w:r w:rsidRPr="00DD70E5">
        <w:t xml:space="preserve"> </w:t>
      </w:r>
      <w:proofErr w:type="spellStart"/>
      <w:r w:rsidRPr="00DD70E5">
        <w:t>hanya</w:t>
      </w:r>
      <w:proofErr w:type="spellEnd"/>
      <w:r w:rsidRPr="00DD70E5">
        <w:t xml:space="preserve"> </w:t>
      </w:r>
      <w:proofErr w:type="spellStart"/>
      <w:r w:rsidRPr="00DD70E5">
        <w:t>terjadi</w:t>
      </w:r>
      <w:proofErr w:type="spellEnd"/>
      <w:r w:rsidRPr="00DD70E5">
        <w:t xml:space="preserve"> di </w:t>
      </w:r>
      <w:proofErr w:type="spellStart"/>
      <w:r w:rsidRPr="00DD70E5">
        <w:t>pemerintahan</w:t>
      </w:r>
      <w:proofErr w:type="spellEnd"/>
      <w:r w:rsidRPr="00DD70E5">
        <w:t xml:space="preserve"> </w:t>
      </w:r>
      <w:proofErr w:type="spellStart"/>
      <w:r w:rsidRPr="00DD70E5">
        <w:t>pusat</w:t>
      </w:r>
      <w:proofErr w:type="spellEnd"/>
      <w:r w:rsidRPr="00DD70E5">
        <w:t xml:space="preserve">, </w:t>
      </w:r>
      <w:proofErr w:type="spellStart"/>
      <w:r w:rsidRPr="00DD70E5">
        <w:t>namun</w:t>
      </w:r>
      <w:proofErr w:type="spellEnd"/>
      <w:r w:rsidRPr="00DD70E5">
        <w:t xml:space="preserve"> </w:t>
      </w:r>
      <w:proofErr w:type="spellStart"/>
      <w:r w:rsidRPr="00DD70E5">
        <w:t>juga</w:t>
      </w:r>
      <w:proofErr w:type="spellEnd"/>
      <w:r w:rsidRPr="00DD70E5">
        <w:t xml:space="preserve"> </w:t>
      </w:r>
      <w:proofErr w:type="spellStart"/>
      <w:r w:rsidRPr="00DD70E5">
        <w:t>pada</w:t>
      </w:r>
      <w:proofErr w:type="spellEnd"/>
      <w:r w:rsidRPr="00DD70E5">
        <w:t xml:space="preserve"> </w:t>
      </w:r>
      <w:proofErr w:type="spellStart"/>
      <w:r w:rsidRPr="00DD70E5">
        <w:t>pemerintahan</w:t>
      </w:r>
      <w:proofErr w:type="spellEnd"/>
      <w:r w:rsidRPr="00DD70E5">
        <w:t xml:space="preserve"> </w:t>
      </w:r>
      <w:proofErr w:type="spellStart"/>
      <w:r w:rsidRPr="00DD70E5">
        <w:t>daerah</w:t>
      </w:r>
      <w:proofErr w:type="spellEnd"/>
      <w:r w:rsidRPr="00DD70E5">
        <w:t xml:space="preserve"> yang </w:t>
      </w:r>
      <w:proofErr w:type="spellStart"/>
      <w:r w:rsidRPr="00DD70E5">
        <w:t>akhirnya</w:t>
      </w:r>
      <w:proofErr w:type="spellEnd"/>
      <w:r w:rsidRPr="00DD70E5">
        <w:t xml:space="preserve"> </w:t>
      </w:r>
      <w:proofErr w:type="spellStart"/>
      <w:r w:rsidRPr="00DD70E5">
        <w:t>tidak</w:t>
      </w:r>
      <w:proofErr w:type="spellEnd"/>
      <w:r w:rsidRPr="00DD70E5">
        <w:t xml:space="preserve"> </w:t>
      </w:r>
      <w:proofErr w:type="spellStart"/>
      <w:r w:rsidRPr="00DD70E5">
        <w:t>mampu</w:t>
      </w:r>
      <w:proofErr w:type="spellEnd"/>
      <w:r w:rsidRPr="00DD70E5">
        <w:t xml:space="preserve"> </w:t>
      </w:r>
      <w:proofErr w:type="spellStart"/>
      <w:r w:rsidRPr="00DD70E5">
        <w:t>menciptakan</w:t>
      </w:r>
      <w:proofErr w:type="spellEnd"/>
      <w:r w:rsidRPr="00DD70E5">
        <w:t xml:space="preserve"> </w:t>
      </w:r>
      <w:proofErr w:type="spellStart"/>
      <w:r w:rsidRPr="00DD70E5">
        <w:t>ruang</w:t>
      </w:r>
      <w:proofErr w:type="spellEnd"/>
      <w:r w:rsidRPr="00DD70E5">
        <w:t xml:space="preserve"> </w:t>
      </w:r>
      <w:proofErr w:type="spellStart"/>
      <w:r w:rsidRPr="00DD70E5">
        <w:t>fiskal</w:t>
      </w:r>
      <w:proofErr w:type="spellEnd"/>
      <w:r w:rsidRPr="00DD70E5">
        <w:t xml:space="preserve"> </w:t>
      </w:r>
      <w:proofErr w:type="spellStart"/>
      <w:r w:rsidRPr="00DD70E5">
        <w:t>untuk</w:t>
      </w:r>
      <w:proofErr w:type="spellEnd"/>
      <w:r w:rsidRPr="00DD70E5">
        <w:t xml:space="preserve"> </w:t>
      </w:r>
      <w:proofErr w:type="spellStart"/>
      <w:r w:rsidRPr="00DD70E5">
        <w:t>belanja</w:t>
      </w:r>
      <w:proofErr w:type="spellEnd"/>
      <w:r w:rsidRPr="00DD70E5">
        <w:t xml:space="preserve"> yang </w:t>
      </w:r>
      <w:proofErr w:type="spellStart"/>
      <w:r w:rsidRPr="00DD70E5">
        <w:t>produktif</w:t>
      </w:r>
      <w:proofErr w:type="spellEnd"/>
      <w:r w:rsidRPr="00DD70E5">
        <w:t xml:space="preserve"> (</w:t>
      </w:r>
      <w:hyperlink r:id="rId10" w:history="1">
        <w:r w:rsidRPr="00DD70E5">
          <w:rPr>
            <w:rStyle w:val="Hyperlink"/>
            <w:bCs/>
            <w:shd w:val="clear" w:color="auto" w:fill="FFFFFF"/>
          </w:rPr>
          <w:t>http://mdn.biz.id/n/111104</w:t>
        </w:r>
      </w:hyperlink>
      <w:r w:rsidRPr="00DD70E5">
        <w:rPr>
          <w:rStyle w:val="Hyperlink"/>
          <w:bCs/>
          <w:color w:val="auto"/>
          <w:u w:val="none"/>
          <w:shd w:val="clear" w:color="auto" w:fill="FFFFFF"/>
        </w:rPr>
        <w:t xml:space="preserve"> : </w:t>
      </w:r>
      <w:r w:rsidRPr="00DD70E5">
        <w:t>12/8/2014)</w:t>
      </w:r>
      <w:r w:rsidR="005C1702" w:rsidRPr="00DD70E5">
        <w:t xml:space="preserve">. </w:t>
      </w:r>
      <w:proofErr w:type="spellStart"/>
      <w:r w:rsidR="007A0953" w:rsidRPr="00DD70E5">
        <w:t>Selain</w:t>
      </w:r>
      <w:proofErr w:type="spellEnd"/>
      <w:r w:rsidR="008F2C0F" w:rsidRPr="00DD70E5">
        <w:t xml:space="preserve"> </w:t>
      </w:r>
      <w:proofErr w:type="spellStart"/>
      <w:r w:rsidR="008F2C0F" w:rsidRPr="00DD70E5">
        <w:t>itu</w:t>
      </w:r>
      <w:proofErr w:type="spellEnd"/>
      <w:r w:rsidR="008F2C0F" w:rsidRPr="00DD70E5">
        <w:t xml:space="preserve"> </w:t>
      </w:r>
      <w:proofErr w:type="spellStart"/>
      <w:r w:rsidR="008F2C0F" w:rsidRPr="00DD70E5">
        <w:t>adanya</w:t>
      </w:r>
      <w:proofErr w:type="spellEnd"/>
      <w:r w:rsidR="008F2C0F" w:rsidRPr="00DD70E5">
        <w:t xml:space="preserve"> </w:t>
      </w:r>
      <w:proofErr w:type="spellStart"/>
      <w:r w:rsidR="008F2C0F" w:rsidRPr="00DD70E5">
        <w:t>penurunan</w:t>
      </w:r>
      <w:proofErr w:type="spellEnd"/>
      <w:r w:rsidR="008F2C0F" w:rsidRPr="00DD70E5">
        <w:t xml:space="preserve"> </w:t>
      </w:r>
      <w:proofErr w:type="spellStart"/>
      <w:r w:rsidR="008F2C0F" w:rsidRPr="00DD70E5">
        <w:t>kinerja</w:t>
      </w:r>
      <w:proofErr w:type="spellEnd"/>
      <w:r w:rsidR="008F2C0F" w:rsidRPr="00DD70E5">
        <w:t xml:space="preserve"> </w:t>
      </w:r>
      <w:proofErr w:type="spellStart"/>
      <w:r w:rsidR="008F2C0F" w:rsidRPr="00DD70E5">
        <w:t>pemerintah</w:t>
      </w:r>
      <w:proofErr w:type="spellEnd"/>
      <w:r w:rsidR="008F2C0F" w:rsidRPr="00DD70E5">
        <w:t xml:space="preserve"> </w:t>
      </w:r>
      <w:proofErr w:type="spellStart"/>
      <w:r w:rsidR="008F2C0F" w:rsidRPr="00DD70E5">
        <w:t>daerah</w:t>
      </w:r>
      <w:proofErr w:type="spellEnd"/>
      <w:r w:rsidR="008F2C0F" w:rsidRPr="00DD70E5">
        <w:t xml:space="preserve"> </w:t>
      </w:r>
      <w:proofErr w:type="spellStart"/>
      <w:r w:rsidR="008F2C0F" w:rsidRPr="00DD70E5">
        <w:t>seperti</w:t>
      </w:r>
      <w:proofErr w:type="spellEnd"/>
      <w:r w:rsidR="008F2C0F" w:rsidRPr="00DD70E5">
        <w:t xml:space="preserve"> yang </w:t>
      </w:r>
      <w:proofErr w:type="spellStart"/>
      <w:r w:rsidR="008F2C0F" w:rsidRPr="00DD70E5">
        <w:t>terjadi</w:t>
      </w:r>
      <w:proofErr w:type="spellEnd"/>
      <w:r w:rsidR="008F2C0F" w:rsidRPr="00DD70E5">
        <w:t xml:space="preserve"> </w:t>
      </w:r>
      <w:proofErr w:type="spellStart"/>
      <w:r w:rsidR="008F2C0F" w:rsidRPr="00DD70E5">
        <w:t>pada</w:t>
      </w:r>
      <w:proofErr w:type="spellEnd"/>
      <w:r w:rsidR="008F2C0F" w:rsidRPr="00DD70E5">
        <w:t xml:space="preserve"> </w:t>
      </w:r>
      <w:proofErr w:type="spellStart"/>
      <w:r w:rsidR="008F2C0F" w:rsidRPr="00DD70E5">
        <w:t>Pemkab</w:t>
      </w:r>
      <w:proofErr w:type="spellEnd"/>
      <w:r w:rsidR="008F2C0F" w:rsidRPr="00DD70E5">
        <w:t xml:space="preserve"> </w:t>
      </w:r>
      <w:proofErr w:type="spellStart"/>
      <w:r w:rsidR="008F2C0F" w:rsidRPr="00DD70E5">
        <w:t>Nagakeo</w:t>
      </w:r>
      <w:proofErr w:type="spellEnd"/>
      <w:r w:rsidR="008F2C0F" w:rsidRPr="00DD70E5">
        <w:t xml:space="preserve"> yang </w:t>
      </w:r>
      <w:proofErr w:type="spellStart"/>
      <w:r w:rsidR="008F2C0F" w:rsidRPr="00DD70E5">
        <w:t>anjlok</w:t>
      </w:r>
      <w:proofErr w:type="spellEnd"/>
      <w:r w:rsidR="008F2C0F" w:rsidRPr="00DD70E5">
        <w:t xml:space="preserve"> </w:t>
      </w:r>
      <w:proofErr w:type="spellStart"/>
      <w:r w:rsidR="008F2C0F" w:rsidRPr="00DD70E5">
        <w:t>pada</w:t>
      </w:r>
      <w:proofErr w:type="spellEnd"/>
      <w:r w:rsidR="008F2C0F" w:rsidRPr="00DD70E5">
        <w:t xml:space="preserve"> </w:t>
      </w:r>
      <w:proofErr w:type="spellStart"/>
      <w:r w:rsidR="008F2C0F" w:rsidRPr="00DD70E5">
        <w:t>tahun</w:t>
      </w:r>
      <w:proofErr w:type="spellEnd"/>
      <w:r w:rsidR="008F2C0F" w:rsidRPr="00DD70E5">
        <w:t xml:space="preserve"> 2013. </w:t>
      </w:r>
      <w:proofErr w:type="spellStart"/>
      <w:r w:rsidR="008F2C0F" w:rsidRPr="00DD70E5">
        <w:t>Kondisi</w:t>
      </w:r>
      <w:proofErr w:type="spellEnd"/>
      <w:r w:rsidR="008F2C0F" w:rsidRPr="00DD70E5">
        <w:t xml:space="preserve"> </w:t>
      </w:r>
      <w:proofErr w:type="spellStart"/>
      <w:r w:rsidR="008F2C0F" w:rsidRPr="00DD70E5">
        <w:t>ini</w:t>
      </w:r>
      <w:proofErr w:type="spellEnd"/>
      <w:r w:rsidR="008F2C0F" w:rsidRPr="00DD70E5">
        <w:t xml:space="preserve"> </w:t>
      </w:r>
      <w:proofErr w:type="spellStart"/>
      <w:r w:rsidR="008F2C0F" w:rsidRPr="00DD70E5">
        <w:t>ditunjukkan</w:t>
      </w:r>
      <w:proofErr w:type="spellEnd"/>
      <w:r w:rsidR="008F2C0F" w:rsidRPr="00DD70E5">
        <w:t xml:space="preserve"> </w:t>
      </w:r>
      <w:proofErr w:type="spellStart"/>
      <w:r w:rsidR="008F2C0F" w:rsidRPr="00DD70E5">
        <w:t>melaui</w:t>
      </w:r>
      <w:proofErr w:type="spellEnd"/>
      <w:r w:rsidR="008F2C0F" w:rsidRPr="00DD70E5">
        <w:t xml:space="preserve"> </w:t>
      </w:r>
      <w:proofErr w:type="spellStart"/>
      <w:r w:rsidR="008F2C0F" w:rsidRPr="00DD70E5">
        <w:t>realisasi</w:t>
      </w:r>
      <w:proofErr w:type="spellEnd"/>
      <w:r w:rsidR="008F2C0F" w:rsidRPr="00DD70E5">
        <w:t xml:space="preserve"> PAD </w:t>
      </w:r>
      <w:proofErr w:type="spellStart"/>
      <w:r w:rsidR="008F2C0F" w:rsidRPr="00DD70E5">
        <w:t>dan</w:t>
      </w:r>
      <w:proofErr w:type="spellEnd"/>
      <w:r w:rsidR="008F2C0F" w:rsidRPr="00DD70E5">
        <w:t xml:space="preserve"> </w:t>
      </w:r>
      <w:proofErr w:type="spellStart"/>
      <w:r w:rsidR="008F2C0F" w:rsidRPr="00DD70E5">
        <w:t>realisasi</w:t>
      </w:r>
      <w:proofErr w:type="spellEnd"/>
      <w:r w:rsidR="008F2C0F" w:rsidRPr="00DD70E5">
        <w:t xml:space="preserve"> </w:t>
      </w:r>
      <w:proofErr w:type="spellStart"/>
      <w:r w:rsidR="008F2C0F" w:rsidRPr="00DD70E5">
        <w:t>belanja</w:t>
      </w:r>
      <w:proofErr w:type="spellEnd"/>
      <w:r w:rsidR="008F2C0F" w:rsidRPr="00DD70E5">
        <w:t xml:space="preserve"> </w:t>
      </w:r>
      <w:proofErr w:type="spellStart"/>
      <w:r w:rsidR="008F2C0F" w:rsidRPr="00DD70E5">
        <w:t>daerah</w:t>
      </w:r>
      <w:proofErr w:type="spellEnd"/>
      <w:r w:rsidR="008F2C0F" w:rsidRPr="00DD70E5">
        <w:t xml:space="preserve"> yang </w:t>
      </w:r>
      <w:proofErr w:type="spellStart"/>
      <w:r w:rsidR="008F2C0F" w:rsidRPr="00DD70E5">
        <w:t>hanya</w:t>
      </w:r>
      <w:proofErr w:type="spellEnd"/>
      <w:r w:rsidR="008F2C0F" w:rsidRPr="00DD70E5">
        <w:t xml:space="preserve"> </w:t>
      </w:r>
      <w:proofErr w:type="spellStart"/>
      <w:r w:rsidR="008F2C0F" w:rsidRPr="00DD70E5">
        <w:t>terealisasi</w:t>
      </w:r>
      <w:proofErr w:type="spellEnd"/>
      <w:r w:rsidR="008F2C0F" w:rsidRPr="00DD70E5">
        <w:t xml:space="preserve"> 63</w:t>
      </w:r>
      <w:proofErr w:type="gramStart"/>
      <w:r w:rsidR="008F2C0F" w:rsidRPr="00DD70E5">
        <w:t>,68</w:t>
      </w:r>
      <w:proofErr w:type="gramEnd"/>
      <w:r w:rsidR="008F2C0F" w:rsidRPr="00DD70E5">
        <w:t xml:space="preserve">% </w:t>
      </w:r>
      <w:proofErr w:type="spellStart"/>
      <w:r w:rsidR="008F2C0F" w:rsidRPr="00DD70E5">
        <w:t>dari</w:t>
      </w:r>
      <w:proofErr w:type="spellEnd"/>
      <w:r w:rsidR="008F2C0F" w:rsidRPr="00DD70E5">
        <w:t xml:space="preserve"> target yang </w:t>
      </w:r>
      <w:proofErr w:type="spellStart"/>
      <w:r w:rsidR="008F2C0F" w:rsidRPr="00DD70E5">
        <w:t>telah</w:t>
      </w:r>
      <w:proofErr w:type="spellEnd"/>
      <w:r w:rsidR="008F2C0F" w:rsidRPr="00DD70E5">
        <w:t xml:space="preserve"> </w:t>
      </w:r>
      <w:proofErr w:type="spellStart"/>
      <w:r w:rsidR="008F2C0F" w:rsidRPr="00DD70E5">
        <w:t>ditetapkan</w:t>
      </w:r>
      <w:proofErr w:type="spellEnd"/>
      <w:r w:rsidR="008F2C0F" w:rsidRPr="00DD70E5">
        <w:t>. (</w:t>
      </w:r>
      <w:proofErr w:type="spellStart"/>
      <w:r w:rsidR="008F2C0F" w:rsidRPr="00D035C8">
        <w:rPr>
          <w:bCs/>
          <w:kern w:val="36"/>
          <w:u w:val="single"/>
        </w:rPr>
        <w:t>Pos</w:t>
      </w:r>
      <w:proofErr w:type="spellEnd"/>
      <w:r w:rsidR="008F2C0F" w:rsidRPr="00D035C8">
        <w:rPr>
          <w:bCs/>
          <w:kern w:val="36"/>
          <w:u w:val="single"/>
        </w:rPr>
        <w:t xml:space="preserve"> </w:t>
      </w:r>
      <w:proofErr w:type="spellStart"/>
      <w:r w:rsidR="008F2C0F" w:rsidRPr="00D035C8">
        <w:rPr>
          <w:bCs/>
          <w:kern w:val="36"/>
          <w:u w:val="single"/>
        </w:rPr>
        <w:t>Kupang</w:t>
      </w:r>
      <w:proofErr w:type="spellEnd"/>
      <w:r w:rsidR="008F2C0F" w:rsidRPr="00D035C8">
        <w:rPr>
          <w:bCs/>
          <w:kern w:val="36"/>
          <w:u w:val="single"/>
        </w:rPr>
        <w:t xml:space="preserve">, </w:t>
      </w:r>
      <w:proofErr w:type="spellStart"/>
      <w:r w:rsidR="008F2C0F" w:rsidRPr="00D035C8">
        <w:rPr>
          <w:u w:val="single"/>
        </w:rPr>
        <w:t>S</w:t>
      </w:r>
      <w:r w:rsidR="00D035C8">
        <w:rPr>
          <w:u w:val="single"/>
        </w:rPr>
        <w:t>enin</w:t>
      </w:r>
      <w:proofErr w:type="spellEnd"/>
      <w:r w:rsidR="00D035C8">
        <w:rPr>
          <w:u w:val="single"/>
        </w:rPr>
        <w:t xml:space="preserve"> 18 </w:t>
      </w:r>
      <w:proofErr w:type="spellStart"/>
      <w:r w:rsidR="00D035C8">
        <w:rPr>
          <w:u w:val="single"/>
        </w:rPr>
        <w:t>Agustus</w:t>
      </w:r>
      <w:proofErr w:type="spellEnd"/>
      <w:r w:rsidR="00D035C8">
        <w:rPr>
          <w:u w:val="single"/>
        </w:rPr>
        <w:t xml:space="preserve"> 2014 07:02 WITA</w:t>
      </w:r>
      <w:r w:rsidR="00D035C8">
        <w:t>)</w:t>
      </w:r>
      <w:r w:rsidR="00EC5267">
        <w:t>.</w:t>
      </w:r>
    </w:p>
    <w:p w:rsidR="00870EEE" w:rsidRDefault="00870EEE" w:rsidP="00DE4C07">
      <w:pPr>
        <w:spacing w:line="480" w:lineRule="auto"/>
        <w:ind w:left="432" w:firstLine="738"/>
        <w:jc w:val="both"/>
        <w:rPr>
          <w:lang w:val="id-ID"/>
        </w:rPr>
      </w:pPr>
      <w:r w:rsidRPr="00DD70E5">
        <w:rPr>
          <w:lang w:val="id-ID"/>
        </w:rPr>
        <w:lastRenderedPageBreak/>
        <w:t>Dana perimbangan menurut Peraturan Pemerintah No. 104 Tahun 2000 adalah dana yang bersumber dari penerimaan APBN yang dialokasikan pada daerah untuk membiayai kebutuhan daerah dalam rangka pelaksanaan desentralisasi. Dalam UU No. 33 Tahun 2004 tentang Perimbangan Keuangan antara Pemerintah</w:t>
      </w:r>
      <w:r w:rsidR="004F6ADF">
        <w:rPr>
          <w:lang w:val="en-US"/>
        </w:rPr>
        <w:t xml:space="preserve"> </w:t>
      </w:r>
      <w:proofErr w:type="spellStart"/>
      <w:r w:rsidR="004F6ADF">
        <w:rPr>
          <w:lang w:val="en-US"/>
        </w:rPr>
        <w:t>Pusat</w:t>
      </w:r>
      <w:proofErr w:type="spellEnd"/>
      <w:r w:rsidRPr="00DD70E5">
        <w:rPr>
          <w:lang w:val="id-ID"/>
        </w:rPr>
        <w:t xml:space="preserve"> dan Pemerintah Daerah dan Peraturan Pemerintah No. 55 Tahun 2005 tentang Dana Perimbangan dijelaskan bahwa dana perimbangan terdiri dari dana bagi hasil (DBH), dana alokasi umum (DAU), dan dana alokasi khusus (DAK). Setiap komponen dalam dana perimbangan terkait </w:t>
      </w:r>
      <w:r w:rsidR="009836BD" w:rsidRPr="00DD70E5">
        <w:rPr>
          <w:lang w:val="id-ID"/>
        </w:rPr>
        <w:t xml:space="preserve">erat dengan komponen lainnya karena </w:t>
      </w:r>
      <w:proofErr w:type="spellStart"/>
      <w:r w:rsidR="009836BD" w:rsidRPr="00DD70E5">
        <w:rPr>
          <w:lang w:val="en-US"/>
        </w:rPr>
        <w:t>ujuan</w:t>
      </w:r>
      <w:proofErr w:type="spellEnd"/>
      <w:r w:rsidR="009836BD" w:rsidRPr="00DD70E5">
        <w:rPr>
          <w:lang w:val="en-US"/>
        </w:rPr>
        <w:t xml:space="preserve"> </w:t>
      </w:r>
      <w:proofErr w:type="spellStart"/>
      <w:r w:rsidR="009836BD" w:rsidRPr="00DD70E5">
        <w:rPr>
          <w:lang w:val="en-US"/>
        </w:rPr>
        <w:t>dari</w:t>
      </w:r>
      <w:proofErr w:type="spellEnd"/>
      <w:r w:rsidR="009836BD" w:rsidRPr="00DD70E5">
        <w:rPr>
          <w:lang w:val="en-US"/>
        </w:rPr>
        <w:t xml:space="preserve"> </w:t>
      </w:r>
      <w:r w:rsidR="009836BD" w:rsidRPr="00DD70E5">
        <w:rPr>
          <w:lang w:val="id-ID"/>
        </w:rPr>
        <w:t>masing-masing jenis penerimaan tersebut saling mengisi dan melengkapi. Menurut Machfud, dkk (2002) tujuan umum dari dana perimbangan adalah (1) untuk meniadakan meminimumkan ketimpangan fiskal vertikal, (2) untuk meniadakan meminimumkan ketimpangan fiskal horizontal, (3) memperhitungkan sebagian atau seluruh limp</w:t>
      </w:r>
      <w:r w:rsidR="00BF3EFD">
        <w:rPr>
          <w:lang w:val="id-ID"/>
        </w:rPr>
        <w:t xml:space="preserve">ahan manfaat </w:t>
      </w:r>
      <w:r w:rsidR="009836BD" w:rsidRPr="00DD70E5">
        <w:rPr>
          <w:lang w:val="id-ID"/>
        </w:rPr>
        <w:t>yang menimbulkan b</w:t>
      </w:r>
      <w:r w:rsidR="00BF3EFD">
        <w:rPr>
          <w:lang w:val="id-ID"/>
        </w:rPr>
        <w:t>iaya</w:t>
      </w:r>
      <w:r w:rsidR="009836BD" w:rsidRPr="00DD70E5">
        <w:rPr>
          <w:lang w:val="id-ID"/>
        </w:rPr>
        <w:t xml:space="preserve"> tersebut.</w:t>
      </w:r>
    </w:p>
    <w:p w:rsidR="00AA0BA4" w:rsidRDefault="00BA1117" w:rsidP="00DE4C07">
      <w:pPr>
        <w:pStyle w:val="ListParagraph"/>
        <w:spacing w:line="480" w:lineRule="auto"/>
        <w:ind w:left="450" w:firstLine="720"/>
        <w:jc w:val="both"/>
      </w:pPr>
      <w:r w:rsidRPr="00BA1117">
        <w:rPr>
          <w:lang w:val="id-ID"/>
        </w:rPr>
        <w:t>Tran</w:t>
      </w:r>
      <w:r w:rsidRPr="00BA1117">
        <w:rPr>
          <w:lang w:val="en-US"/>
        </w:rPr>
        <w:t>s</w:t>
      </w:r>
      <w:r w:rsidRPr="00BA1117">
        <w:rPr>
          <w:lang w:val="id-ID"/>
        </w:rPr>
        <w:t>fer dana perimbangan yang meningkat ke daerah akan meningkatkan pengeluaran pemerintah daerah melalui APBD</w:t>
      </w:r>
      <w:r w:rsidRPr="00F65331">
        <w:rPr>
          <w:b/>
          <w:lang w:val="id-ID"/>
        </w:rPr>
        <w:t>.</w:t>
      </w:r>
      <w:r>
        <w:rPr>
          <w:b/>
          <w:lang w:val="en-US"/>
        </w:rPr>
        <w:t xml:space="preserve"> </w:t>
      </w:r>
      <w:proofErr w:type="spellStart"/>
      <w:r w:rsidR="004F6ADF">
        <w:rPr>
          <w:lang w:val="en-US"/>
        </w:rPr>
        <w:t>S</w:t>
      </w:r>
      <w:r>
        <w:rPr>
          <w:lang w:val="en-US"/>
        </w:rPr>
        <w:t>eperti</w:t>
      </w:r>
      <w:proofErr w:type="spellEnd"/>
      <w:r>
        <w:rPr>
          <w:lang w:val="en-US"/>
        </w:rPr>
        <w:t xml:space="preserve"> </w:t>
      </w:r>
      <w:r w:rsidR="00BF3EFD">
        <w:rPr>
          <w:lang w:val="en-US"/>
        </w:rPr>
        <w:t xml:space="preserve">transfer </w:t>
      </w:r>
      <w:proofErr w:type="spellStart"/>
      <w:proofErr w:type="gramStart"/>
      <w:r w:rsidR="00BF3EFD">
        <w:rPr>
          <w:lang w:val="en-US"/>
        </w:rPr>
        <w:t>dana</w:t>
      </w:r>
      <w:proofErr w:type="spellEnd"/>
      <w:proofErr w:type="gramEnd"/>
      <w:r w:rsidR="00BF3EFD">
        <w:rPr>
          <w:lang w:val="en-US"/>
        </w:rPr>
        <w:t xml:space="preserve"> </w:t>
      </w:r>
      <w:proofErr w:type="spellStart"/>
      <w:r w:rsidR="00BF3EFD">
        <w:rPr>
          <w:lang w:val="en-US"/>
        </w:rPr>
        <w:t>perimbangan</w:t>
      </w:r>
      <w:proofErr w:type="spellEnd"/>
      <w:r w:rsidR="00BF3EFD">
        <w:rPr>
          <w:lang w:val="en-US"/>
        </w:rPr>
        <w:t xml:space="preserve"> yang </w:t>
      </w:r>
      <w:proofErr w:type="spellStart"/>
      <w:r w:rsidR="00BF3EFD">
        <w:rPr>
          <w:lang w:val="en-US"/>
        </w:rPr>
        <w:t>dinilai</w:t>
      </w:r>
      <w:proofErr w:type="spellEnd"/>
      <w:r w:rsidR="00BF3EFD">
        <w:rPr>
          <w:lang w:val="en-US"/>
        </w:rPr>
        <w:t xml:space="preserve"> </w:t>
      </w:r>
      <w:proofErr w:type="spellStart"/>
      <w:r w:rsidR="00BF3EFD">
        <w:rPr>
          <w:lang w:val="en-US"/>
        </w:rPr>
        <w:t>masih</w:t>
      </w:r>
      <w:proofErr w:type="spellEnd"/>
      <w:r w:rsidR="00BF3EFD">
        <w:rPr>
          <w:lang w:val="en-US"/>
        </w:rPr>
        <w:t xml:space="preserve"> </w:t>
      </w:r>
      <w:proofErr w:type="spellStart"/>
      <w:r w:rsidR="00BF3EFD">
        <w:rPr>
          <w:lang w:val="en-US"/>
        </w:rPr>
        <w:t>sangat</w:t>
      </w:r>
      <w:proofErr w:type="spellEnd"/>
      <w:r w:rsidR="00BF3EFD">
        <w:rPr>
          <w:lang w:val="en-US"/>
        </w:rPr>
        <w:t xml:space="preserve"> </w:t>
      </w:r>
      <w:proofErr w:type="spellStart"/>
      <w:r w:rsidR="00BF3EFD">
        <w:rPr>
          <w:lang w:val="en-US"/>
        </w:rPr>
        <w:t>tinggi</w:t>
      </w:r>
      <w:proofErr w:type="spellEnd"/>
      <w:r w:rsidR="00BF3EFD">
        <w:rPr>
          <w:lang w:val="en-US"/>
        </w:rPr>
        <w:t xml:space="preserve"> </w:t>
      </w:r>
      <w:proofErr w:type="spellStart"/>
      <w:r w:rsidR="00BF3EFD">
        <w:rPr>
          <w:lang w:val="en-US"/>
        </w:rPr>
        <w:t>sehingga</w:t>
      </w:r>
      <w:proofErr w:type="spellEnd"/>
      <w:r w:rsidR="00BF3EFD">
        <w:rPr>
          <w:lang w:val="en-US"/>
        </w:rPr>
        <w:t xml:space="preserve"> </w:t>
      </w:r>
      <w:proofErr w:type="spellStart"/>
      <w:r w:rsidR="00BF3EFD">
        <w:rPr>
          <w:lang w:val="en-US"/>
        </w:rPr>
        <w:t>menjadi</w:t>
      </w:r>
      <w:proofErr w:type="spellEnd"/>
      <w:r w:rsidR="00BF3EFD">
        <w:rPr>
          <w:lang w:val="en-US"/>
        </w:rPr>
        <w:t xml:space="preserve"> </w:t>
      </w:r>
      <w:proofErr w:type="spellStart"/>
      <w:r w:rsidR="00BF3EFD">
        <w:rPr>
          <w:lang w:val="en-US"/>
        </w:rPr>
        <w:t>salah</w:t>
      </w:r>
      <w:proofErr w:type="spellEnd"/>
      <w:r w:rsidR="00BF3EFD">
        <w:rPr>
          <w:lang w:val="en-US"/>
        </w:rPr>
        <w:t xml:space="preserve"> </w:t>
      </w:r>
      <w:proofErr w:type="spellStart"/>
      <w:r w:rsidR="00BF3EFD">
        <w:rPr>
          <w:lang w:val="en-US"/>
        </w:rPr>
        <w:t>satu</w:t>
      </w:r>
      <w:proofErr w:type="spellEnd"/>
      <w:r w:rsidR="00BF3EFD">
        <w:rPr>
          <w:lang w:val="en-US"/>
        </w:rPr>
        <w:t xml:space="preserve"> </w:t>
      </w:r>
      <w:proofErr w:type="spellStart"/>
      <w:r w:rsidR="00BF3EFD">
        <w:rPr>
          <w:lang w:val="en-US"/>
        </w:rPr>
        <w:t>permasalahan</w:t>
      </w:r>
      <w:proofErr w:type="spellEnd"/>
      <w:r w:rsidR="00BF3EFD">
        <w:rPr>
          <w:lang w:val="en-US"/>
        </w:rPr>
        <w:t xml:space="preserve"> </w:t>
      </w:r>
      <w:proofErr w:type="spellStart"/>
      <w:r w:rsidR="00BF3EFD">
        <w:rPr>
          <w:lang w:val="en-US"/>
        </w:rPr>
        <w:t>otonomi</w:t>
      </w:r>
      <w:proofErr w:type="spellEnd"/>
      <w:r w:rsidR="00BF3EFD">
        <w:rPr>
          <w:lang w:val="en-US"/>
        </w:rPr>
        <w:t xml:space="preserve"> </w:t>
      </w:r>
      <w:proofErr w:type="spellStart"/>
      <w:r w:rsidR="00BF3EFD">
        <w:rPr>
          <w:lang w:val="en-US"/>
        </w:rPr>
        <w:t>dan</w:t>
      </w:r>
      <w:proofErr w:type="spellEnd"/>
      <w:r w:rsidR="00BF3EFD">
        <w:rPr>
          <w:lang w:val="en-US"/>
        </w:rPr>
        <w:t xml:space="preserve"> </w:t>
      </w:r>
      <w:proofErr w:type="spellStart"/>
      <w:r w:rsidR="00BF3EFD">
        <w:rPr>
          <w:lang w:val="en-US"/>
        </w:rPr>
        <w:t>desentralisasi</w:t>
      </w:r>
      <w:proofErr w:type="spellEnd"/>
      <w:r w:rsidR="00BF3EFD">
        <w:rPr>
          <w:lang w:val="en-US"/>
        </w:rPr>
        <w:t xml:space="preserve"> </w:t>
      </w:r>
      <w:proofErr w:type="spellStart"/>
      <w:r w:rsidR="00BF3EFD">
        <w:rPr>
          <w:lang w:val="en-US"/>
        </w:rPr>
        <w:t>keuangan</w:t>
      </w:r>
      <w:proofErr w:type="spellEnd"/>
      <w:r w:rsidR="00BF3EFD">
        <w:rPr>
          <w:lang w:val="en-US"/>
        </w:rPr>
        <w:t xml:space="preserve"> </w:t>
      </w:r>
      <w:proofErr w:type="spellStart"/>
      <w:r w:rsidR="00BF3EFD">
        <w:rPr>
          <w:lang w:val="en-US"/>
        </w:rPr>
        <w:t>daerah</w:t>
      </w:r>
      <w:proofErr w:type="spellEnd"/>
      <w:r w:rsidR="00BF3EFD">
        <w:rPr>
          <w:lang w:val="en-US"/>
        </w:rPr>
        <w:t xml:space="preserve"> yang </w:t>
      </w:r>
      <w:proofErr w:type="spellStart"/>
      <w:r w:rsidR="00BF3EFD">
        <w:rPr>
          <w:lang w:val="en-US"/>
        </w:rPr>
        <w:t>menyebabkan</w:t>
      </w:r>
      <w:proofErr w:type="spellEnd"/>
      <w:r w:rsidR="00BF3EFD">
        <w:rPr>
          <w:lang w:val="en-US"/>
        </w:rPr>
        <w:t xml:space="preserve"> </w:t>
      </w:r>
      <w:proofErr w:type="spellStart"/>
      <w:r w:rsidR="00BF3EFD">
        <w:rPr>
          <w:lang w:val="en-US"/>
        </w:rPr>
        <w:t>ketergantungan</w:t>
      </w:r>
      <w:proofErr w:type="spellEnd"/>
      <w:r w:rsidR="00BF3EFD">
        <w:rPr>
          <w:lang w:val="en-US"/>
        </w:rPr>
        <w:t xml:space="preserve"> yang </w:t>
      </w:r>
      <w:proofErr w:type="spellStart"/>
      <w:r w:rsidR="00BF3EFD">
        <w:rPr>
          <w:lang w:val="en-US"/>
        </w:rPr>
        <w:t>dimiliki</w:t>
      </w:r>
      <w:proofErr w:type="spellEnd"/>
      <w:r w:rsidR="00BF3EFD">
        <w:rPr>
          <w:lang w:val="en-US"/>
        </w:rPr>
        <w:t xml:space="preserve"> </w:t>
      </w:r>
      <w:proofErr w:type="spellStart"/>
      <w:r w:rsidR="00BF3EFD">
        <w:rPr>
          <w:lang w:val="en-US"/>
        </w:rPr>
        <w:t>pemerintah</w:t>
      </w:r>
      <w:proofErr w:type="spellEnd"/>
      <w:r w:rsidR="00BF3EFD">
        <w:rPr>
          <w:lang w:val="en-US"/>
        </w:rPr>
        <w:t xml:space="preserve"> </w:t>
      </w:r>
      <w:proofErr w:type="spellStart"/>
      <w:r w:rsidR="00BF3EFD">
        <w:rPr>
          <w:lang w:val="en-US"/>
        </w:rPr>
        <w:t>daerah</w:t>
      </w:r>
      <w:proofErr w:type="spellEnd"/>
      <w:r w:rsidR="00BF3EFD">
        <w:rPr>
          <w:lang w:val="en-US"/>
        </w:rPr>
        <w:t xml:space="preserve"> </w:t>
      </w:r>
      <w:proofErr w:type="spellStart"/>
      <w:r w:rsidR="00BF3EFD">
        <w:rPr>
          <w:lang w:val="en-US"/>
        </w:rPr>
        <w:t>terhadap</w:t>
      </w:r>
      <w:proofErr w:type="spellEnd"/>
      <w:r w:rsidR="00BF3EFD">
        <w:rPr>
          <w:lang w:val="en-US"/>
        </w:rPr>
        <w:t xml:space="preserve"> </w:t>
      </w:r>
      <w:proofErr w:type="spellStart"/>
      <w:r w:rsidR="00BF3EFD">
        <w:rPr>
          <w:lang w:val="en-US"/>
        </w:rPr>
        <w:t>pemerintah</w:t>
      </w:r>
      <w:proofErr w:type="spellEnd"/>
      <w:r w:rsidR="00BF3EFD">
        <w:rPr>
          <w:lang w:val="en-US"/>
        </w:rPr>
        <w:t xml:space="preserve"> </w:t>
      </w:r>
      <w:proofErr w:type="spellStart"/>
      <w:r w:rsidR="00BF3EFD">
        <w:rPr>
          <w:lang w:val="en-US"/>
        </w:rPr>
        <w:t>pusat</w:t>
      </w:r>
      <w:proofErr w:type="spellEnd"/>
      <w:r w:rsidR="00BF3EFD">
        <w:rPr>
          <w:lang w:val="en-US"/>
        </w:rPr>
        <w:t xml:space="preserve"> (</w:t>
      </w:r>
      <w:hyperlink r:id="rId11" w:history="1">
        <w:r w:rsidR="00BF3EFD" w:rsidRPr="00067BD2">
          <w:rPr>
            <w:rStyle w:val="Hyperlink"/>
          </w:rPr>
          <w:t>http://www.antarasumbar.</w:t>
        </w:r>
        <w:r w:rsidR="00BF3EFD" w:rsidRPr="00BF3EFD">
          <w:rPr>
            <w:rStyle w:val="Hyperlink"/>
            <w:u w:val="none"/>
          </w:rPr>
          <w:t>com</w:t>
        </w:r>
      </w:hyperlink>
      <w:r w:rsidR="00BF3EFD">
        <w:rPr>
          <w:rStyle w:val="Hyperlink"/>
          <w:color w:val="auto"/>
          <w:u w:val="none"/>
        </w:rPr>
        <w:t xml:space="preserve"> : </w:t>
      </w:r>
      <w:r w:rsidR="00BF3EFD" w:rsidRPr="00BF3EFD">
        <w:t>13</w:t>
      </w:r>
      <w:r w:rsidR="00BF3EFD" w:rsidRPr="00067BD2">
        <w:t>/06/2014</w:t>
      </w:r>
      <w:r w:rsidR="00BF3EFD">
        <w:t>)</w:t>
      </w:r>
      <w:r w:rsidR="00EC5267">
        <w:t>.</w:t>
      </w:r>
    </w:p>
    <w:p w:rsidR="00F82801" w:rsidRPr="00BF3EFD" w:rsidRDefault="004F6ADF" w:rsidP="00DE4C07">
      <w:pPr>
        <w:shd w:val="clear" w:color="auto" w:fill="FFFFFF"/>
        <w:spacing w:line="480" w:lineRule="auto"/>
        <w:ind w:left="446" w:firstLine="720"/>
        <w:jc w:val="both"/>
      </w:pPr>
      <w:proofErr w:type="spellStart"/>
      <w:r>
        <w:t>Disamping</w:t>
      </w:r>
      <w:proofErr w:type="spellEnd"/>
      <w:r>
        <w:t xml:space="preserve"> </w:t>
      </w:r>
      <w:proofErr w:type="spellStart"/>
      <w:r>
        <w:t>itu</w:t>
      </w:r>
      <w:proofErr w:type="spellEnd"/>
      <w:r>
        <w:t>,</w:t>
      </w:r>
      <w:r w:rsidR="00D035C8">
        <w:t xml:space="preserve"> </w:t>
      </w:r>
      <w:proofErr w:type="spellStart"/>
      <w:r w:rsidR="009B05ED">
        <w:t>juga</w:t>
      </w:r>
      <w:proofErr w:type="spellEnd"/>
      <w:r w:rsidR="009B05ED">
        <w:t xml:space="preserve"> </w:t>
      </w:r>
      <w:proofErr w:type="spellStart"/>
      <w:r>
        <w:t>terdapat</w:t>
      </w:r>
      <w:proofErr w:type="spellEnd"/>
      <w:r>
        <w:t xml:space="preserve"> </w:t>
      </w:r>
      <w:proofErr w:type="spellStart"/>
      <w:r>
        <w:t>perkiraan</w:t>
      </w:r>
      <w:proofErr w:type="spellEnd"/>
      <w:r>
        <w:t xml:space="preserve"> </w:t>
      </w:r>
      <w:proofErr w:type="spellStart"/>
      <w:r>
        <w:t>penurunan</w:t>
      </w:r>
      <w:proofErr w:type="spellEnd"/>
      <w:r>
        <w:t xml:space="preserve"> </w:t>
      </w:r>
      <w:proofErr w:type="spellStart"/>
      <w:r>
        <w:t>dana</w:t>
      </w:r>
      <w:proofErr w:type="spellEnd"/>
      <w:r>
        <w:t xml:space="preserve"> </w:t>
      </w:r>
      <w:proofErr w:type="spellStart"/>
      <w:proofErr w:type="gramStart"/>
      <w:r>
        <w:t>perimbangan</w:t>
      </w:r>
      <w:proofErr w:type="spellEnd"/>
      <w:r>
        <w:t xml:space="preserve">  </w:t>
      </w:r>
      <w:proofErr w:type="spellStart"/>
      <w:r>
        <w:t>untuk</w:t>
      </w:r>
      <w:proofErr w:type="spellEnd"/>
      <w:proofErr w:type="gramEnd"/>
      <w:r>
        <w:t xml:space="preserve"> </w:t>
      </w:r>
      <w:proofErr w:type="spellStart"/>
      <w:r>
        <w:t>Provinsi</w:t>
      </w:r>
      <w:proofErr w:type="spellEnd"/>
      <w:r>
        <w:t xml:space="preserve"> Sumatera Barat </w:t>
      </w:r>
      <w:proofErr w:type="spellStart"/>
      <w:r>
        <w:t>sebesar</w:t>
      </w:r>
      <w:proofErr w:type="spellEnd"/>
      <w:r>
        <w:t xml:space="preserve"> 5,55 % </w:t>
      </w:r>
      <w:proofErr w:type="spellStart"/>
      <w:r>
        <w:t>pada</w:t>
      </w:r>
      <w:proofErr w:type="spellEnd"/>
      <w:r>
        <w:t xml:space="preserve"> </w:t>
      </w:r>
      <w:proofErr w:type="spellStart"/>
      <w:r>
        <w:t>tahun</w:t>
      </w:r>
      <w:proofErr w:type="spellEnd"/>
      <w:r>
        <w:t xml:space="preserve"> </w:t>
      </w:r>
      <w:proofErr w:type="spellStart"/>
      <w:r>
        <w:t>anggaran</w:t>
      </w:r>
      <w:proofErr w:type="spellEnd"/>
      <w:r>
        <w:t xml:space="preserve"> 2015 </w:t>
      </w:r>
      <w:r w:rsidR="00845ED0">
        <w:lastRenderedPageBreak/>
        <w:t>(</w:t>
      </w:r>
      <w:hyperlink r:id="rId12" w:history="1">
        <w:r w:rsidR="00845ED0" w:rsidRPr="00B14F02">
          <w:rPr>
            <w:rStyle w:val="Hyperlink"/>
          </w:rPr>
          <w:t>http://www.antarasumbar.com</w:t>
        </w:r>
      </w:hyperlink>
      <w:r w:rsidR="00845ED0">
        <w:t xml:space="preserve"> : </w:t>
      </w:r>
      <w:r w:rsidR="00845ED0" w:rsidRPr="00067BD2">
        <w:t>21/08/2014</w:t>
      </w:r>
      <w:r w:rsidR="00F82801">
        <w:t xml:space="preserve">). </w:t>
      </w:r>
      <w:proofErr w:type="spellStart"/>
      <w:r w:rsidR="00F82801">
        <w:t>Sementara</w:t>
      </w:r>
      <w:proofErr w:type="spellEnd"/>
      <w:r>
        <w:t xml:space="preserve"> </w:t>
      </w:r>
      <w:r w:rsidR="00845ED0">
        <w:t xml:space="preserve">di Aceh Utara </w:t>
      </w:r>
      <w:proofErr w:type="spellStart"/>
      <w:r w:rsidR="00845ED0">
        <w:t>kapasitas</w:t>
      </w:r>
      <w:proofErr w:type="spellEnd"/>
      <w:r w:rsidR="00845ED0">
        <w:t xml:space="preserve"> </w:t>
      </w:r>
      <w:proofErr w:type="spellStart"/>
      <w:r w:rsidR="00845ED0">
        <w:t>fiskalnya</w:t>
      </w:r>
      <w:proofErr w:type="spellEnd"/>
      <w:r w:rsidR="00845ED0">
        <w:t xml:space="preserve"> </w:t>
      </w:r>
      <w:proofErr w:type="spellStart"/>
      <w:r w:rsidR="00845ED0">
        <w:t>dalam</w:t>
      </w:r>
      <w:proofErr w:type="spellEnd"/>
      <w:r w:rsidR="00845ED0">
        <w:t xml:space="preserve"> </w:t>
      </w:r>
      <w:proofErr w:type="spellStart"/>
      <w:r w:rsidR="00845ED0">
        <w:t>beberapa</w:t>
      </w:r>
      <w:proofErr w:type="spellEnd"/>
      <w:r w:rsidR="00845ED0">
        <w:t xml:space="preserve"> </w:t>
      </w:r>
      <w:proofErr w:type="spellStart"/>
      <w:r w:rsidR="00845ED0">
        <w:t>tahun</w:t>
      </w:r>
      <w:proofErr w:type="spellEnd"/>
      <w:r w:rsidR="00845ED0">
        <w:t xml:space="preserve"> </w:t>
      </w:r>
      <w:proofErr w:type="spellStart"/>
      <w:r w:rsidR="00845ED0">
        <w:t>terakhir</w:t>
      </w:r>
      <w:proofErr w:type="spellEnd"/>
      <w:r w:rsidR="00845ED0">
        <w:t xml:space="preserve"> </w:t>
      </w:r>
      <w:proofErr w:type="spellStart"/>
      <w:r w:rsidR="00845ED0">
        <w:t>cenderung</w:t>
      </w:r>
      <w:proofErr w:type="spellEnd"/>
      <w:r w:rsidR="00845ED0">
        <w:t xml:space="preserve"> </w:t>
      </w:r>
      <w:proofErr w:type="spellStart"/>
      <w:r w:rsidR="00F82801">
        <w:t>fluktatif</w:t>
      </w:r>
      <w:proofErr w:type="spellEnd"/>
      <w:r w:rsidR="00F82801">
        <w:t xml:space="preserve">. </w:t>
      </w:r>
      <w:proofErr w:type="spellStart"/>
      <w:r w:rsidR="00F82801">
        <w:t>Pada</w:t>
      </w:r>
      <w:proofErr w:type="spellEnd"/>
      <w:r w:rsidR="00F82801">
        <w:t xml:space="preserve"> </w:t>
      </w:r>
      <w:proofErr w:type="spellStart"/>
      <w:r w:rsidR="00F82801">
        <w:t>tahun</w:t>
      </w:r>
      <w:proofErr w:type="spellEnd"/>
      <w:r w:rsidR="00F82801">
        <w:t xml:space="preserve"> </w:t>
      </w:r>
      <w:proofErr w:type="spellStart"/>
      <w:r w:rsidR="00F82801">
        <w:t>anggaran</w:t>
      </w:r>
      <w:proofErr w:type="spellEnd"/>
      <w:r w:rsidR="00F82801">
        <w:t xml:space="preserve"> 2012 </w:t>
      </w:r>
      <w:proofErr w:type="spellStart"/>
      <w:r w:rsidR="00F82801">
        <w:t>dan</w:t>
      </w:r>
      <w:proofErr w:type="spellEnd"/>
      <w:r w:rsidR="00F82801">
        <w:t xml:space="preserve"> 2013 </w:t>
      </w:r>
      <w:proofErr w:type="spellStart"/>
      <w:r w:rsidR="00F82801">
        <w:t>naik</w:t>
      </w:r>
      <w:proofErr w:type="spellEnd"/>
      <w:r w:rsidR="00F82801">
        <w:t xml:space="preserve">, </w:t>
      </w:r>
      <w:proofErr w:type="spellStart"/>
      <w:r w:rsidR="00F82801">
        <w:t>sedangkan</w:t>
      </w:r>
      <w:proofErr w:type="spellEnd"/>
      <w:r w:rsidR="00F82801">
        <w:t xml:space="preserve"> </w:t>
      </w:r>
      <w:proofErr w:type="spellStart"/>
      <w:r w:rsidR="00F82801">
        <w:t>pada</w:t>
      </w:r>
      <w:proofErr w:type="spellEnd"/>
      <w:r w:rsidR="00F82801">
        <w:t xml:space="preserve"> </w:t>
      </w:r>
      <w:proofErr w:type="spellStart"/>
      <w:r w:rsidR="00F82801">
        <w:t>tahun</w:t>
      </w:r>
      <w:proofErr w:type="spellEnd"/>
      <w:r w:rsidR="00F82801">
        <w:t xml:space="preserve"> 2014 </w:t>
      </w:r>
      <w:proofErr w:type="spellStart"/>
      <w:r w:rsidR="00F82801">
        <w:t>terjadi</w:t>
      </w:r>
      <w:proofErr w:type="spellEnd"/>
      <w:r w:rsidR="00F82801">
        <w:t xml:space="preserve"> </w:t>
      </w:r>
      <w:proofErr w:type="spellStart"/>
      <w:r w:rsidR="00F82801">
        <w:t>penurunan</w:t>
      </w:r>
      <w:proofErr w:type="spellEnd"/>
      <w:r w:rsidR="00F82801">
        <w:t xml:space="preserve"> </w:t>
      </w:r>
      <w:proofErr w:type="spellStart"/>
      <w:r w:rsidR="00F82801">
        <w:t>dana</w:t>
      </w:r>
      <w:proofErr w:type="spellEnd"/>
      <w:r w:rsidR="00F82801">
        <w:t xml:space="preserve"> </w:t>
      </w:r>
      <w:proofErr w:type="spellStart"/>
      <w:r w:rsidR="00F82801">
        <w:t>perimbangan</w:t>
      </w:r>
      <w:proofErr w:type="spellEnd"/>
      <w:r w:rsidR="00F82801">
        <w:t xml:space="preserve"> </w:t>
      </w:r>
      <w:proofErr w:type="spellStart"/>
      <w:r w:rsidR="00F82801">
        <w:t>pada</w:t>
      </w:r>
      <w:proofErr w:type="spellEnd"/>
      <w:r w:rsidR="00F82801">
        <w:t xml:space="preserve"> </w:t>
      </w:r>
      <w:proofErr w:type="spellStart"/>
      <w:r w:rsidR="00F82801">
        <w:t>pos</w:t>
      </w:r>
      <w:proofErr w:type="spellEnd"/>
      <w:r w:rsidR="00F82801">
        <w:t xml:space="preserve"> </w:t>
      </w:r>
      <w:proofErr w:type="spellStart"/>
      <w:r w:rsidR="00F82801">
        <w:t>bagi</w:t>
      </w:r>
      <w:proofErr w:type="spellEnd"/>
      <w:r w:rsidR="00F82801">
        <w:t xml:space="preserve"> </w:t>
      </w:r>
      <w:proofErr w:type="spellStart"/>
      <w:r w:rsidR="00F82801">
        <w:t>hasil</w:t>
      </w:r>
      <w:proofErr w:type="spellEnd"/>
      <w:r w:rsidR="00F82801">
        <w:t xml:space="preserve"> </w:t>
      </w:r>
      <w:proofErr w:type="spellStart"/>
      <w:r w:rsidR="00F82801">
        <w:t>pajak</w:t>
      </w:r>
      <w:proofErr w:type="spellEnd"/>
      <w:r w:rsidR="00F82801">
        <w:t xml:space="preserve"> / </w:t>
      </w:r>
      <w:proofErr w:type="spellStart"/>
      <w:r w:rsidR="00F82801">
        <w:t>bagi</w:t>
      </w:r>
      <w:proofErr w:type="spellEnd"/>
      <w:r w:rsidR="00F82801">
        <w:t xml:space="preserve"> </w:t>
      </w:r>
      <w:proofErr w:type="spellStart"/>
      <w:r w:rsidR="00F82801">
        <w:t>hasil</w:t>
      </w:r>
      <w:proofErr w:type="spellEnd"/>
      <w:r w:rsidR="00F82801">
        <w:t xml:space="preserve"> </w:t>
      </w:r>
      <w:proofErr w:type="spellStart"/>
      <w:r w:rsidR="00F82801">
        <w:t>bukan</w:t>
      </w:r>
      <w:proofErr w:type="spellEnd"/>
      <w:r w:rsidR="00F82801">
        <w:t xml:space="preserve"> </w:t>
      </w:r>
      <w:proofErr w:type="spellStart"/>
      <w:r w:rsidR="00F82801">
        <w:t>pajak</w:t>
      </w:r>
      <w:proofErr w:type="spellEnd"/>
      <w:r w:rsidR="00F82801">
        <w:t xml:space="preserve"> (</w:t>
      </w:r>
      <w:r w:rsidR="00F82801" w:rsidRPr="00F82801">
        <w:rPr>
          <w:u w:val="single"/>
        </w:rPr>
        <w:t xml:space="preserve">The Globe Journal </w:t>
      </w:r>
      <w:proofErr w:type="spellStart"/>
      <w:r w:rsidR="00F82801" w:rsidRPr="00F82801">
        <w:rPr>
          <w:u w:val="single"/>
        </w:rPr>
        <w:t>Kamis</w:t>
      </w:r>
      <w:proofErr w:type="spellEnd"/>
      <w:r w:rsidR="00F82801" w:rsidRPr="00F82801">
        <w:rPr>
          <w:u w:val="single"/>
        </w:rPr>
        <w:t xml:space="preserve">, 21 </w:t>
      </w:r>
      <w:proofErr w:type="spellStart"/>
      <w:r w:rsidR="00F82801" w:rsidRPr="00F82801">
        <w:rPr>
          <w:u w:val="single"/>
        </w:rPr>
        <w:t>Agustus</w:t>
      </w:r>
      <w:proofErr w:type="spellEnd"/>
      <w:r w:rsidR="00F82801" w:rsidRPr="00F82801">
        <w:rPr>
          <w:u w:val="single"/>
        </w:rPr>
        <w:t xml:space="preserve"> 2014 11:15 WIB</w:t>
      </w:r>
      <w:r w:rsidR="00EC5267">
        <w:t>).</w:t>
      </w:r>
    </w:p>
    <w:p w:rsidR="00165903" w:rsidRPr="00DD70E5" w:rsidRDefault="0050321E" w:rsidP="00DE4C07">
      <w:pPr>
        <w:tabs>
          <w:tab w:val="left" w:pos="1170"/>
        </w:tabs>
        <w:spacing w:line="480" w:lineRule="auto"/>
        <w:ind w:left="426"/>
        <w:jc w:val="both"/>
        <w:rPr>
          <w:lang w:val="id-ID"/>
        </w:rPr>
      </w:pPr>
      <w:r>
        <w:rPr>
          <w:lang w:val="id-ID"/>
        </w:rPr>
        <w:tab/>
        <w:t xml:space="preserve">Dalam </w:t>
      </w:r>
      <w:r w:rsidR="00DD0E15" w:rsidRPr="00DD70E5">
        <w:rPr>
          <w:lang w:val="id-ID"/>
        </w:rPr>
        <w:t xml:space="preserve">Peraturan Menteri Dalam Negeri </w:t>
      </w:r>
      <w:r>
        <w:rPr>
          <w:lang w:val="id-ID"/>
        </w:rPr>
        <w:t>No. 21 tahun 2011</w:t>
      </w:r>
      <w:r w:rsidR="00121A7F">
        <w:rPr>
          <w:lang w:val="en-US"/>
        </w:rPr>
        <w:t xml:space="preserve"> </w:t>
      </w:r>
      <w:proofErr w:type="spellStart"/>
      <w:r w:rsidR="00121A7F">
        <w:rPr>
          <w:lang w:val="en-US"/>
        </w:rPr>
        <w:t>tentang</w:t>
      </w:r>
      <w:proofErr w:type="spellEnd"/>
      <w:r w:rsidR="00121A7F">
        <w:rPr>
          <w:lang w:val="en-US"/>
        </w:rPr>
        <w:t xml:space="preserve"> </w:t>
      </w:r>
      <w:proofErr w:type="spellStart"/>
      <w:r w:rsidR="00121A7F">
        <w:rPr>
          <w:lang w:val="en-US"/>
        </w:rPr>
        <w:t>perubahan</w:t>
      </w:r>
      <w:proofErr w:type="spellEnd"/>
      <w:r w:rsidR="00121A7F">
        <w:rPr>
          <w:lang w:val="en-US"/>
        </w:rPr>
        <w:t xml:space="preserve"> </w:t>
      </w:r>
      <w:proofErr w:type="spellStart"/>
      <w:r w:rsidR="00121A7F">
        <w:rPr>
          <w:lang w:val="en-US"/>
        </w:rPr>
        <w:t>kedua</w:t>
      </w:r>
      <w:proofErr w:type="spellEnd"/>
      <w:r w:rsidR="00121A7F">
        <w:rPr>
          <w:lang w:val="en-US"/>
        </w:rPr>
        <w:t xml:space="preserve"> </w:t>
      </w:r>
      <w:proofErr w:type="spellStart"/>
      <w:r w:rsidR="00121A7F">
        <w:rPr>
          <w:lang w:val="en-US"/>
        </w:rPr>
        <w:t>atas</w:t>
      </w:r>
      <w:proofErr w:type="spellEnd"/>
      <w:r w:rsidR="00121A7F">
        <w:rPr>
          <w:lang w:val="en-US"/>
        </w:rPr>
        <w:t xml:space="preserve"> </w:t>
      </w:r>
      <w:r w:rsidR="00121A7F" w:rsidRPr="00DD70E5">
        <w:rPr>
          <w:lang w:val="id-ID"/>
        </w:rPr>
        <w:t>Peraturan Menteri Dalam Negeri No</w:t>
      </w:r>
      <w:r w:rsidR="00121A7F">
        <w:rPr>
          <w:lang w:val="en-US"/>
        </w:rPr>
        <w:t xml:space="preserve">. 13 </w:t>
      </w:r>
      <w:proofErr w:type="spellStart"/>
      <w:r w:rsidR="00121A7F">
        <w:rPr>
          <w:lang w:val="en-US"/>
        </w:rPr>
        <w:t>Tahun</w:t>
      </w:r>
      <w:proofErr w:type="spellEnd"/>
      <w:r w:rsidR="00121A7F">
        <w:rPr>
          <w:lang w:val="en-US"/>
        </w:rPr>
        <w:t xml:space="preserve"> 2006</w:t>
      </w:r>
      <w:r w:rsidR="000A368D">
        <w:rPr>
          <w:lang w:val="id-ID"/>
        </w:rPr>
        <w:t xml:space="preserve"> p</w:t>
      </w:r>
      <w:r w:rsidR="00165903" w:rsidRPr="00DD70E5">
        <w:rPr>
          <w:lang w:val="id-ID"/>
        </w:rPr>
        <w:t xml:space="preserve">asal 122 dinyatakan bahwa pengeluaran tidak dapat dibebankan pada anggaran belanja jika untuk pengeluaran tersebut tidak tersedia atau tidak cukup tersedia dalam APBD. PAD, Dana perimbangan merupakan sumber pendapatan daerah. </w:t>
      </w:r>
      <w:proofErr w:type="spellStart"/>
      <w:r w:rsidR="00165903" w:rsidRPr="00DD70E5">
        <w:rPr>
          <w:lang w:val="en-US"/>
        </w:rPr>
        <w:t>Artinya</w:t>
      </w:r>
      <w:proofErr w:type="spellEnd"/>
      <w:r w:rsidR="00165903" w:rsidRPr="00DD70E5">
        <w:rPr>
          <w:lang w:val="en-US"/>
        </w:rPr>
        <w:t xml:space="preserve"> </w:t>
      </w:r>
      <w:proofErr w:type="spellStart"/>
      <w:r w:rsidR="00165903" w:rsidRPr="00DD70E5">
        <w:rPr>
          <w:lang w:val="en-US"/>
        </w:rPr>
        <w:t>pemerintah</w:t>
      </w:r>
      <w:proofErr w:type="spellEnd"/>
      <w:r w:rsidR="00165903" w:rsidRPr="00DD70E5">
        <w:rPr>
          <w:lang w:val="en-US"/>
        </w:rPr>
        <w:t xml:space="preserve"> </w:t>
      </w:r>
      <w:proofErr w:type="spellStart"/>
      <w:r w:rsidR="00165903" w:rsidRPr="00DD70E5">
        <w:rPr>
          <w:lang w:val="en-US"/>
        </w:rPr>
        <w:t>harus</w:t>
      </w:r>
      <w:proofErr w:type="spellEnd"/>
      <w:r w:rsidR="00165903" w:rsidRPr="00DD70E5">
        <w:rPr>
          <w:lang w:val="en-US"/>
        </w:rPr>
        <w:t xml:space="preserve"> </w:t>
      </w:r>
      <w:proofErr w:type="spellStart"/>
      <w:r w:rsidR="00165903" w:rsidRPr="00DD70E5">
        <w:rPr>
          <w:lang w:val="en-US"/>
        </w:rPr>
        <w:t>menyesuaikan</w:t>
      </w:r>
      <w:proofErr w:type="spellEnd"/>
      <w:r w:rsidR="00165903" w:rsidRPr="00DD70E5">
        <w:rPr>
          <w:lang w:val="en-US"/>
        </w:rPr>
        <w:t xml:space="preserve"> </w:t>
      </w:r>
      <w:proofErr w:type="spellStart"/>
      <w:r w:rsidR="00165903" w:rsidRPr="00DD70E5">
        <w:rPr>
          <w:lang w:val="en-US"/>
        </w:rPr>
        <w:t>belanja</w:t>
      </w:r>
      <w:proofErr w:type="spellEnd"/>
      <w:r w:rsidR="00165903" w:rsidRPr="00DD70E5">
        <w:rPr>
          <w:lang w:val="en-US"/>
        </w:rPr>
        <w:t xml:space="preserve"> </w:t>
      </w:r>
      <w:proofErr w:type="spellStart"/>
      <w:r w:rsidR="00165903" w:rsidRPr="00DD70E5">
        <w:rPr>
          <w:lang w:val="en-US"/>
        </w:rPr>
        <w:t>daerah</w:t>
      </w:r>
      <w:proofErr w:type="spellEnd"/>
      <w:r w:rsidR="00165903" w:rsidRPr="00DD70E5">
        <w:rPr>
          <w:lang w:val="en-US"/>
        </w:rPr>
        <w:t xml:space="preserve"> yang </w:t>
      </w:r>
      <w:r w:rsidR="00165903" w:rsidRPr="00DD70E5">
        <w:rPr>
          <w:lang w:val="id-ID"/>
        </w:rPr>
        <w:t xml:space="preserve">dikeluarkan dengan PAD yang diterima, </w:t>
      </w:r>
      <w:proofErr w:type="gramStart"/>
      <w:r w:rsidR="00165903" w:rsidRPr="00DD70E5">
        <w:rPr>
          <w:lang w:val="id-ID"/>
        </w:rPr>
        <w:t>dana</w:t>
      </w:r>
      <w:proofErr w:type="gramEnd"/>
      <w:r w:rsidR="00165903" w:rsidRPr="00DD70E5">
        <w:rPr>
          <w:lang w:val="id-ID"/>
        </w:rPr>
        <w:t xml:space="preserve"> perimbangan yang ditransfer dari pusat.</w:t>
      </w:r>
    </w:p>
    <w:p w:rsidR="00934450" w:rsidRPr="001E7201" w:rsidRDefault="00165903" w:rsidP="001E7201">
      <w:pPr>
        <w:tabs>
          <w:tab w:val="left" w:pos="1134"/>
        </w:tabs>
        <w:spacing w:line="480" w:lineRule="auto"/>
        <w:ind w:left="432"/>
        <w:jc w:val="both"/>
        <w:rPr>
          <w:lang w:val="id-ID"/>
        </w:rPr>
      </w:pPr>
      <w:r w:rsidRPr="00DD70E5">
        <w:rPr>
          <w:lang w:val="id-ID"/>
        </w:rPr>
        <w:tab/>
      </w:r>
      <w:proofErr w:type="spellStart"/>
      <w:r w:rsidR="00951709">
        <w:rPr>
          <w:lang w:val="en-US"/>
        </w:rPr>
        <w:t>Tapi</w:t>
      </w:r>
      <w:proofErr w:type="spellEnd"/>
      <w:r w:rsidR="00951709">
        <w:rPr>
          <w:lang w:val="en-US"/>
        </w:rPr>
        <w:t xml:space="preserve"> </w:t>
      </w:r>
      <w:proofErr w:type="spellStart"/>
      <w:r w:rsidR="00951709">
        <w:rPr>
          <w:lang w:val="en-US"/>
        </w:rPr>
        <w:t>dalam</w:t>
      </w:r>
      <w:proofErr w:type="spellEnd"/>
      <w:r w:rsidR="00951709">
        <w:rPr>
          <w:lang w:val="en-US"/>
        </w:rPr>
        <w:t xml:space="preserve"> </w:t>
      </w:r>
      <w:proofErr w:type="spellStart"/>
      <w:r w:rsidR="00951709">
        <w:rPr>
          <w:lang w:val="en-US"/>
        </w:rPr>
        <w:t>pelaksanaannya</w:t>
      </w:r>
      <w:proofErr w:type="spellEnd"/>
      <w:r w:rsidR="00951709">
        <w:rPr>
          <w:lang w:val="en-US"/>
        </w:rPr>
        <w:t xml:space="preserve"> yang </w:t>
      </w:r>
      <w:proofErr w:type="spellStart"/>
      <w:r w:rsidR="00951709">
        <w:rPr>
          <w:lang w:val="en-US"/>
        </w:rPr>
        <w:t>terjadi</w:t>
      </w:r>
      <w:proofErr w:type="spellEnd"/>
      <w:r w:rsidR="00951709">
        <w:rPr>
          <w:lang w:val="en-US"/>
        </w:rPr>
        <w:t xml:space="preserve"> </w:t>
      </w:r>
      <w:proofErr w:type="spellStart"/>
      <w:r w:rsidR="00951709">
        <w:rPr>
          <w:lang w:val="en-US"/>
        </w:rPr>
        <w:t>adalah</w:t>
      </w:r>
      <w:proofErr w:type="spellEnd"/>
      <w:r w:rsidR="00951709">
        <w:rPr>
          <w:lang w:val="en-US"/>
        </w:rPr>
        <w:t xml:space="preserve"> a</w:t>
      </w:r>
      <w:r w:rsidRPr="00DD70E5">
        <w:rPr>
          <w:lang w:val="id-ID"/>
        </w:rPr>
        <w:t xml:space="preserve">danya defisit anggaran untuk membiayai belanja daerah. Seperti di Sumatera Barat sendiri, Kota Solok untuk tahun 2008 mengalami defisit sebesar Rp 40 miliar lebih, hal ini disebabkan PAD dan dana perimbangan tidak mencukupi untuk membiayai belanja daerah, sehingga dilakukan revisi anggaran terhadap belanja yang tidak benar-benar mendasak (Musriadi, 2008: </w:t>
      </w:r>
      <w:r w:rsidR="0075240D">
        <w:fldChar w:fldCharType="begin"/>
      </w:r>
      <w:r w:rsidR="0075240D">
        <w:instrText xml:space="preserve"> HYPERLINK "http://www.musriadi.com" </w:instrText>
      </w:r>
      <w:r w:rsidR="0075240D">
        <w:fldChar w:fldCharType="separate"/>
      </w:r>
      <w:r w:rsidRPr="00DD70E5">
        <w:rPr>
          <w:rStyle w:val="Hyperlink"/>
          <w:lang w:val="id-ID"/>
        </w:rPr>
        <w:t>www.musriadi.com</w:t>
      </w:r>
      <w:r w:rsidR="0075240D">
        <w:rPr>
          <w:rStyle w:val="Hyperlink"/>
          <w:lang w:val="id-ID"/>
        </w:rPr>
        <w:fldChar w:fldCharType="end"/>
      </w:r>
      <w:r w:rsidRPr="00DD70E5">
        <w:rPr>
          <w:lang w:val="id-ID"/>
        </w:rPr>
        <w:t>).</w:t>
      </w:r>
    </w:p>
    <w:p w:rsidR="00EC4230" w:rsidRDefault="00BD142D" w:rsidP="00016694">
      <w:pPr>
        <w:tabs>
          <w:tab w:val="left" w:pos="1134"/>
        </w:tabs>
        <w:spacing w:line="480" w:lineRule="auto"/>
        <w:ind w:left="432"/>
        <w:jc w:val="both"/>
        <w:rPr>
          <w:lang w:val="id-ID"/>
        </w:rPr>
      </w:pPr>
      <w:r w:rsidRPr="00DD70E5">
        <w:rPr>
          <w:lang w:val="en-US"/>
        </w:rPr>
        <w:tab/>
      </w:r>
      <w:proofErr w:type="spellStart"/>
      <w:r w:rsidRPr="00DD70E5">
        <w:rPr>
          <w:lang w:val="en-US"/>
        </w:rPr>
        <w:t>Kriteria</w:t>
      </w:r>
      <w:proofErr w:type="spellEnd"/>
      <w:r w:rsidRPr="00DD70E5">
        <w:rPr>
          <w:lang w:val="en-US"/>
        </w:rPr>
        <w:t xml:space="preserve"> yang </w:t>
      </w:r>
      <w:proofErr w:type="spellStart"/>
      <w:r w:rsidRPr="00DD70E5">
        <w:rPr>
          <w:lang w:val="en-US"/>
        </w:rPr>
        <w:t>penting</w:t>
      </w:r>
      <w:proofErr w:type="spellEnd"/>
      <w:r w:rsidRPr="00DD70E5">
        <w:rPr>
          <w:lang w:val="en-US"/>
        </w:rPr>
        <w:t xml:space="preserve"> </w:t>
      </w:r>
      <w:proofErr w:type="spellStart"/>
      <w:r w:rsidRPr="00DD70E5">
        <w:rPr>
          <w:lang w:val="en-US"/>
        </w:rPr>
        <w:t>untuk</w:t>
      </w:r>
      <w:proofErr w:type="spellEnd"/>
      <w:r w:rsidRPr="00DD70E5">
        <w:rPr>
          <w:lang w:val="en-US"/>
        </w:rPr>
        <w:t xml:space="preserve"> </w:t>
      </w:r>
      <w:proofErr w:type="spellStart"/>
      <w:r w:rsidRPr="00DD70E5">
        <w:rPr>
          <w:lang w:val="en-US"/>
        </w:rPr>
        <w:t>mengetahui</w:t>
      </w:r>
      <w:proofErr w:type="spellEnd"/>
      <w:r w:rsidRPr="00DD70E5">
        <w:rPr>
          <w:lang w:val="en-US"/>
        </w:rPr>
        <w:t xml:space="preserve"> </w:t>
      </w:r>
      <w:proofErr w:type="spellStart"/>
      <w:r w:rsidRPr="00DD70E5">
        <w:rPr>
          <w:lang w:val="en-US"/>
        </w:rPr>
        <w:t>kemamp</w:t>
      </w:r>
      <w:r w:rsidR="0004428B">
        <w:rPr>
          <w:lang w:val="en-US"/>
        </w:rPr>
        <w:t>uan</w:t>
      </w:r>
      <w:proofErr w:type="spellEnd"/>
      <w:r w:rsidR="0004428B">
        <w:rPr>
          <w:lang w:val="en-US"/>
        </w:rPr>
        <w:t xml:space="preserve"> </w:t>
      </w:r>
      <w:proofErr w:type="spellStart"/>
      <w:r w:rsidR="0004428B">
        <w:rPr>
          <w:lang w:val="en-US"/>
        </w:rPr>
        <w:t>daerah</w:t>
      </w:r>
      <w:proofErr w:type="spellEnd"/>
      <w:r w:rsidR="0004428B">
        <w:rPr>
          <w:lang w:val="en-US"/>
        </w:rPr>
        <w:t xml:space="preserve"> </w:t>
      </w:r>
      <w:proofErr w:type="spellStart"/>
      <w:r w:rsidR="0004428B">
        <w:rPr>
          <w:lang w:val="en-US"/>
        </w:rPr>
        <w:t>dalam</w:t>
      </w:r>
      <w:proofErr w:type="spellEnd"/>
      <w:r w:rsidR="0004428B">
        <w:rPr>
          <w:lang w:val="en-US"/>
        </w:rPr>
        <w:t xml:space="preserve"> </w:t>
      </w:r>
      <w:proofErr w:type="spellStart"/>
      <w:r w:rsidR="0004428B">
        <w:rPr>
          <w:lang w:val="en-US"/>
        </w:rPr>
        <w:t>mengatur</w:t>
      </w:r>
      <w:proofErr w:type="spellEnd"/>
      <w:r w:rsidR="0004428B">
        <w:rPr>
          <w:lang w:val="en-US"/>
        </w:rPr>
        <w:t xml:space="preserve"> </w:t>
      </w:r>
      <w:proofErr w:type="spellStart"/>
      <w:r w:rsidRPr="00DD70E5">
        <w:rPr>
          <w:lang w:val="en-US"/>
        </w:rPr>
        <w:t>rumah</w:t>
      </w:r>
      <w:proofErr w:type="spellEnd"/>
      <w:r w:rsidRPr="00DD70E5">
        <w:rPr>
          <w:lang w:val="en-US"/>
        </w:rPr>
        <w:t xml:space="preserve"> </w:t>
      </w:r>
      <w:proofErr w:type="spellStart"/>
      <w:r w:rsidRPr="00DD70E5">
        <w:rPr>
          <w:lang w:val="en-US"/>
        </w:rPr>
        <w:t>tangganya</w:t>
      </w:r>
      <w:proofErr w:type="spellEnd"/>
      <w:r w:rsidRPr="00DD70E5">
        <w:rPr>
          <w:lang w:val="en-US"/>
        </w:rPr>
        <w:t xml:space="preserve"> </w:t>
      </w:r>
      <w:proofErr w:type="spellStart"/>
      <w:r w:rsidRPr="00DD70E5">
        <w:rPr>
          <w:lang w:val="en-US"/>
        </w:rPr>
        <w:t>adalah</w:t>
      </w:r>
      <w:proofErr w:type="spellEnd"/>
      <w:r w:rsidRPr="00DD70E5">
        <w:rPr>
          <w:lang w:val="en-US"/>
        </w:rPr>
        <w:t xml:space="preserve"> </w:t>
      </w:r>
      <w:proofErr w:type="spellStart"/>
      <w:r w:rsidRPr="00DD70E5">
        <w:rPr>
          <w:lang w:val="en-US"/>
        </w:rPr>
        <w:t>melihat</w:t>
      </w:r>
      <w:proofErr w:type="spellEnd"/>
      <w:r w:rsidRPr="00DD70E5">
        <w:rPr>
          <w:lang w:val="en-US"/>
        </w:rPr>
        <w:t xml:space="preserve"> </w:t>
      </w:r>
      <w:proofErr w:type="spellStart"/>
      <w:r w:rsidRPr="00DD70E5">
        <w:rPr>
          <w:lang w:val="en-US"/>
        </w:rPr>
        <w:t>posisi</w:t>
      </w:r>
      <w:proofErr w:type="spellEnd"/>
      <w:r w:rsidRPr="00DD70E5">
        <w:rPr>
          <w:lang w:val="en-US"/>
        </w:rPr>
        <w:t xml:space="preserve"> </w:t>
      </w:r>
      <w:proofErr w:type="spellStart"/>
      <w:r w:rsidRPr="00DD70E5">
        <w:rPr>
          <w:lang w:val="en-US"/>
        </w:rPr>
        <w:t>keuangannya</w:t>
      </w:r>
      <w:proofErr w:type="spellEnd"/>
      <w:r w:rsidRPr="00DD70E5">
        <w:rPr>
          <w:lang w:val="en-US"/>
        </w:rPr>
        <w:t xml:space="preserve"> (</w:t>
      </w:r>
      <w:proofErr w:type="spellStart"/>
      <w:r w:rsidRPr="00DD70E5">
        <w:rPr>
          <w:lang w:val="en-US"/>
        </w:rPr>
        <w:t>Rahmawati</w:t>
      </w:r>
      <w:proofErr w:type="spellEnd"/>
      <w:r w:rsidRPr="00DD70E5">
        <w:rPr>
          <w:lang w:val="en-US"/>
        </w:rPr>
        <w:t>,</w:t>
      </w:r>
      <w:r w:rsidR="0004428B">
        <w:rPr>
          <w:lang w:val="en-US"/>
        </w:rPr>
        <w:t xml:space="preserve"> </w:t>
      </w:r>
      <w:r w:rsidRPr="00DD70E5">
        <w:rPr>
          <w:lang w:val="en-US"/>
        </w:rPr>
        <w:t xml:space="preserve">2010). </w:t>
      </w:r>
      <w:proofErr w:type="spellStart"/>
      <w:r w:rsidRPr="00DD70E5">
        <w:rPr>
          <w:lang w:val="en-US"/>
        </w:rPr>
        <w:t>Posisi</w:t>
      </w:r>
      <w:proofErr w:type="spellEnd"/>
      <w:r w:rsidRPr="00DD70E5">
        <w:rPr>
          <w:lang w:val="en-US"/>
        </w:rPr>
        <w:t xml:space="preserve"> </w:t>
      </w:r>
      <w:proofErr w:type="spellStart"/>
      <w:r w:rsidRPr="00DD70E5">
        <w:rPr>
          <w:lang w:val="en-US"/>
        </w:rPr>
        <w:t>keuangan</w:t>
      </w:r>
      <w:proofErr w:type="spellEnd"/>
      <w:r w:rsidRPr="00DD70E5">
        <w:rPr>
          <w:lang w:val="en-US"/>
        </w:rPr>
        <w:t xml:space="preserve"> </w:t>
      </w:r>
      <w:proofErr w:type="spellStart"/>
      <w:r w:rsidRPr="00DD70E5">
        <w:rPr>
          <w:lang w:val="en-US"/>
        </w:rPr>
        <w:t>daerah</w:t>
      </w:r>
      <w:proofErr w:type="spellEnd"/>
      <w:r w:rsidRPr="00DD70E5">
        <w:rPr>
          <w:lang w:val="en-US"/>
        </w:rPr>
        <w:t xml:space="preserve"> </w:t>
      </w:r>
      <w:proofErr w:type="spellStart"/>
      <w:r w:rsidRPr="00DD70E5">
        <w:rPr>
          <w:lang w:val="en-US"/>
        </w:rPr>
        <w:t>dapat</w:t>
      </w:r>
      <w:proofErr w:type="spellEnd"/>
      <w:r w:rsidRPr="00DD70E5">
        <w:rPr>
          <w:lang w:val="en-US"/>
        </w:rPr>
        <w:t xml:space="preserve"> </w:t>
      </w:r>
      <w:proofErr w:type="spellStart"/>
      <w:r w:rsidRPr="00DD70E5">
        <w:rPr>
          <w:lang w:val="en-US"/>
        </w:rPr>
        <w:t>dilihat</w:t>
      </w:r>
      <w:proofErr w:type="spellEnd"/>
      <w:r w:rsidRPr="00DD70E5">
        <w:rPr>
          <w:lang w:val="en-US"/>
        </w:rPr>
        <w:t xml:space="preserve"> </w:t>
      </w:r>
      <w:proofErr w:type="spellStart"/>
      <w:r w:rsidRPr="00DD70E5">
        <w:rPr>
          <w:lang w:val="en-US"/>
        </w:rPr>
        <w:t>dari</w:t>
      </w:r>
      <w:proofErr w:type="spellEnd"/>
      <w:r w:rsidRPr="00DD70E5">
        <w:rPr>
          <w:lang w:val="en-US"/>
        </w:rPr>
        <w:t xml:space="preserve"> APBD, yang </w:t>
      </w:r>
      <w:proofErr w:type="spellStart"/>
      <w:r w:rsidRPr="00DD70E5">
        <w:rPr>
          <w:lang w:val="en-US"/>
        </w:rPr>
        <w:t>merupakan</w:t>
      </w:r>
      <w:proofErr w:type="spellEnd"/>
      <w:r w:rsidRPr="00DD70E5">
        <w:rPr>
          <w:lang w:val="en-US"/>
        </w:rPr>
        <w:t xml:space="preserve"> </w:t>
      </w:r>
      <w:proofErr w:type="spellStart"/>
      <w:r w:rsidRPr="00DD70E5">
        <w:rPr>
          <w:lang w:val="en-US"/>
        </w:rPr>
        <w:lastRenderedPageBreak/>
        <w:t>perencanaan</w:t>
      </w:r>
      <w:proofErr w:type="spellEnd"/>
      <w:r w:rsidRPr="00DD70E5">
        <w:rPr>
          <w:lang w:val="en-US"/>
        </w:rPr>
        <w:t xml:space="preserve"> </w:t>
      </w:r>
      <w:proofErr w:type="spellStart"/>
      <w:r w:rsidRPr="00DD70E5">
        <w:rPr>
          <w:lang w:val="en-US"/>
        </w:rPr>
        <w:t>keuangan</w:t>
      </w:r>
      <w:proofErr w:type="spellEnd"/>
      <w:r w:rsidRPr="00DD70E5">
        <w:rPr>
          <w:lang w:val="en-US"/>
        </w:rPr>
        <w:t xml:space="preserve"> </w:t>
      </w:r>
      <w:proofErr w:type="spellStart"/>
      <w:r w:rsidRPr="00DD70E5">
        <w:rPr>
          <w:lang w:val="en-US"/>
        </w:rPr>
        <w:t>daerah</w:t>
      </w:r>
      <w:proofErr w:type="spellEnd"/>
      <w:r w:rsidRPr="00DD70E5">
        <w:rPr>
          <w:lang w:val="en-US"/>
        </w:rPr>
        <w:t xml:space="preserve"> </w:t>
      </w:r>
      <w:proofErr w:type="spellStart"/>
      <w:r w:rsidRPr="00DD70E5">
        <w:rPr>
          <w:lang w:val="en-US"/>
        </w:rPr>
        <w:t>dan</w:t>
      </w:r>
      <w:proofErr w:type="spellEnd"/>
      <w:r w:rsidRPr="00DD70E5">
        <w:rPr>
          <w:lang w:val="en-US"/>
        </w:rPr>
        <w:t xml:space="preserve"> </w:t>
      </w:r>
      <w:proofErr w:type="spellStart"/>
      <w:r w:rsidRPr="00DD70E5">
        <w:rPr>
          <w:lang w:val="en-US"/>
        </w:rPr>
        <w:t>menentukan</w:t>
      </w:r>
      <w:proofErr w:type="spellEnd"/>
      <w:r w:rsidRPr="00DD70E5">
        <w:rPr>
          <w:lang w:val="en-US"/>
        </w:rPr>
        <w:t xml:space="preserve"> </w:t>
      </w:r>
      <w:proofErr w:type="spellStart"/>
      <w:r w:rsidRPr="00DD70E5">
        <w:rPr>
          <w:lang w:val="en-US"/>
        </w:rPr>
        <w:t>besarnya</w:t>
      </w:r>
      <w:proofErr w:type="spellEnd"/>
      <w:r w:rsidRPr="00DD70E5">
        <w:rPr>
          <w:lang w:val="en-US"/>
        </w:rPr>
        <w:t xml:space="preserve"> </w:t>
      </w:r>
      <w:proofErr w:type="spellStart"/>
      <w:r w:rsidRPr="00DD70E5">
        <w:rPr>
          <w:lang w:val="en-US"/>
        </w:rPr>
        <w:t>penerimaan</w:t>
      </w:r>
      <w:proofErr w:type="spellEnd"/>
      <w:r w:rsidRPr="00DD70E5">
        <w:rPr>
          <w:lang w:val="en-US"/>
        </w:rPr>
        <w:t xml:space="preserve"> </w:t>
      </w:r>
      <w:proofErr w:type="spellStart"/>
      <w:r w:rsidRPr="00DD70E5">
        <w:rPr>
          <w:lang w:val="en-US"/>
        </w:rPr>
        <w:t>serta</w:t>
      </w:r>
      <w:proofErr w:type="spellEnd"/>
      <w:r w:rsidRPr="00DD70E5">
        <w:rPr>
          <w:lang w:val="en-US"/>
        </w:rPr>
        <w:t xml:space="preserve"> </w:t>
      </w:r>
      <w:proofErr w:type="spellStart"/>
      <w:r w:rsidR="00852992" w:rsidRPr="00DD70E5">
        <w:rPr>
          <w:lang w:val="en-US"/>
        </w:rPr>
        <w:t>pengeluaran</w:t>
      </w:r>
      <w:proofErr w:type="spellEnd"/>
      <w:r w:rsidR="00852992" w:rsidRPr="00DD70E5">
        <w:rPr>
          <w:lang w:val="en-US"/>
        </w:rPr>
        <w:t xml:space="preserve"> </w:t>
      </w:r>
      <w:proofErr w:type="spellStart"/>
      <w:r w:rsidR="00852992" w:rsidRPr="00DD70E5">
        <w:rPr>
          <w:lang w:val="en-US"/>
        </w:rPr>
        <w:t>da</w:t>
      </w:r>
      <w:r w:rsidR="00852992" w:rsidRPr="002C09AF">
        <w:rPr>
          <w:lang w:val="en-US"/>
        </w:rPr>
        <w:t>erah</w:t>
      </w:r>
      <w:proofErr w:type="spellEnd"/>
      <w:r w:rsidR="00852992" w:rsidRPr="002C09AF">
        <w:rPr>
          <w:lang w:val="en-US"/>
        </w:rPr>
        <w:t>.</w:t>
      </w:r>
      <w:r w:rsidR="002C09AF" w:rsidRPr="002C09AF">
        <w:rPr>
          <w:lang w:val="en-US"/>
        </w:rPr>
        <w:t xml:space="preserve"> </w:t>
      </w:r>
      <w:proofErr w:type="spellStart"/>
      <w:r w:rsidR="002C09AF" w:rsidRPr="002C09AF">
        <w:rPr>
          <w:lang w:val="en-US"/>
        </w:rPr>
        <w:t>Berikut</w:t>
      </w:r>
      <w:proofErr w:type="spellEnd"/>
      <w:r w:rsidR="002C09AF" w:rsidRPr="002C09AF">
        <w:rPr>
          <w:lang w:val="en-US"/>
        </w:rPr>
        <w:t xml:space="preserve"> </w:t>
      </w:r>
      <w:proofErr w:type="spellStart"/>
      <w:r w:rsidR="002C09AF" w:rsidRPr="002C09AF">
        <w:rPr>
          <w:lang w:val="en-US"/>
        </w:rPr>
        <w:t>ini</w:t>
      </w:r>
      <w:proofErr w:type="spellEnd"/>
      <w:r w:rsidR="002C09AF" w:rsidRPr="002C09AF">
        <w:rPr>
          <w:lang w:val="en-US"/>
        </w:rPr>
        <w:t xml:space="preserve"> </w:t>
      </w:r>
      <w:proofErr w:type="spellStart"/>
      <w:proofErr w:type="gramStart"/>
      <w:r w:rsidR="002C09AF" w:rsidRPr="002C09AF">
        <w:rPr>
          <w:lang w:val="en-US"/>
        </w:rPr>
        <w:t>akan</w:t>
      </w:r>
      <w:proofErr w:type="spellEnd"/>
      <w:proofErr w:type="gramEnd"/>
      <w:r w:rsidR="002C09AF" w:rsidRPr="002C09AF">
        <w:rPr>
          <w:lang w:val="en-US"/>
        </w:rPr>
        <w:t xml:space="preserve"> </w:t>
      </w:r>
      <w:proofErr w:type="spellStart"/>
      <w:r w:rsidR="002C09AF" w:rsidRPr="002C09AF">
        <w:rPr>
          <w:lang w:val="en-US"/>
        </w:rPr>
        <w:t>disajikan</w:t>
      </w:r>
      <w:proofErr w:type="spellEnd"/>
      <w:r w:rsidR="002C09AF" w:rsidRPr="002C09AF">
        <w:rPr>
          <w:lang w:val="en-US"/>
        </w:rPr>
        <w:t xml:space="preserve"> </w:t>
      </w:r>
      <w:proofErr w:type="spellStart"/>
      <w:r w:rsidR="002C09AF" w:rsidRPr="002C09AF">
        <w:rPr>
          <w:lang w:val="en-US"/>
        </w:rPr>
        <w:t>mengenai</w:t>
      </w:r>
      <w:proofErr w:type="spellEnd"/>
      <w:r w:rsidR="002C09AF" w:rsidRPr="002C09AF">
        <w:rPr>
          <w:lang w:val="en-US"/>
        </w:rPr>
        <w:t xml:space="preserve"> </w:t>
      </w:r>
      <w:proofErr w:type="spellStart"/>
      <w:r w:rsidR="002C09AF" w:rsidRPr="002C09AF">
        <w:rPr>
          <w:lang w:val="en-US"/>
        </w:rPr>
        <w:t>jumlah</w:t>
      </w:r>
      <w:proofErr w:type="spellEnd"/>
      <w:r w:rsidR="002C09AF" w:rsidRPr="002C09AF">
        <w:rPr>
          <w:lang w:val="en-US"/>
        </w:rPr>
        <w:t xml:space="preserve"> </w:t>
      </w:r>
      <w:proofErr w:type="spellStart"/>
      <w:r w:rsidR="002C09AF" w:rsidRPr="002C09AF">
        <w:rPr>
          <w:lang w:val="en-US"/>
        </w:rPr>
        <w:t>belanja</w:t>
      </w:r>
      <w:proofErr w:type="spellEnd"/>
      <w:r w:rsidR="002C09AF" w:rsidRPr="002C09AF">
        <w:rPr>
          <w:lang w:val="en-US"/>
        </w:rPr>
        <w:t xml:space="preserve"> </w:t>
      </w:r>
      <w:proofErr w:type="spellStart"/>
      <w:r w:rsidR="002C09AF" w:rsidRPr="002C09AF">
        <w:rPr>
          <w:lang w:val="en-US"/>
        </w:rPr>
        <w:t>daerah</w:t>
      </w:r>
      <w:proofErr w:type="spellEnd"/>
      <w:r w:rsidR="007B7C04">
        <w:rPr>
          <w:lang w:val="en-US"/>
        </w:rPr>
        <w:t xml:space="preserve"> di</w:t>
      </w:r>
      <w:r w:rsidR="002C09AF" w:rsidRPr="002C09AF">
        <w:rPr>
          <w:lang w:val="en-US"/>
        </w:rPr>
        <w:t xml:space="preserve"> </w:t>
      </w:r>
      <w:proofErr w:type="spellStart"/>
      <w:r w:rsidR="00016694">
        <w:rPr>
          <w:lang w:val="en-US"/>
        </w:rPr>
        <w:t>Provinsi</w:t>
      </w:r>
      <w:proofErr w:type="spellEnd"/>
      <w:r w:rsidR="00016694">
        <w:rPr>
          <w:lang w:val="en-US"/>
        </w:rPr>
        <w:t xml:space="preserve"> Sumatera Barat.</w:t>
      </w:r>
    </w:p>
    <w:p w:rsidR="00B32656" w:rsidRDefault="00016694" w:rsidP="00016694">
      <w:pPr>
        <w:tabs>
          <w:tab w:val="left" w:pos="1134"/>
        </w:tabs>
        <w:spacing w:line="360" w:lineRule="auto"/>
        <w:rPr>
          <w:b/>
          <w:lang w:val="en-US"/>
        </w:rPr>
      </w:pPr>
      <w:r>
        <w:rPr>
          <w:lang w:val="id-ID"/>
        </w:rPr>
        <w:tab/>
      </w:r>
      <w:r>
        <w:rPr>
          <w:lang w:val="id-ID"/>
        </w:rPr>
        <w:tab/>
      </w:r>
      <w:r>
        <w:rPr>
          <w:lang w:val="id-ID"/>
        </w:rPr>
        <w:tab/>
      </w:r>
      <w:r>
        <w:rPr>
          <w:lang w:val="id-ID"/>
        </w:rPr>
        <w:tab/>
      </w:r>
      <w:r>
        <w:rPr>
          <w:lang w:val="id-ID"/>
        </w:rPr>
        <w:tab/>
        <w:t xml:space="preserve">      </w:t>
      </w:r>
      <w:r w:rsidR="00EB001E">
        <w:rPr>
          <w:lang w:val="id-ID"/>
        </w:rPr>
        <w:t xml:space="preserve">  </w:t>
      </w:r>
      <w:proofErr w:type="spellStart"/>
      <w:r w:rsidR="00EA0C80">
        <w:rPr>
          <w:b/>
          <w:lang w:val="en-US"/>
        </w:rPr>
        <w:t>Tabel</w:t>
      </w:r>
      <w:proofErr w:type="spellEnd"/>
      <w:r w:rsidR="00EA0C80">
        <w:rPr>
          <w:b/>
          <w:lang w:val="en-US"/>
        </w:rPr>
        <w:t xml:space="preserve"> 1</w:t>
      </w:r>
      <w:r w:rsidR="00AF47B7">
        <w:rPr>
          <w:b/>
          <w:lang w:val="en-US"/>
        </w:rPr>
        <w:t>.1</w:t>
      </w:r>
    </w:p>
    <w:p w:rsidR="00DE4C07" w:rsidRDefault="00EB001E" w:rsidP="00B32656">
      <w:pPr>
        <w:tabs>
          <w:tab w:val="left" w:pos="1134"/>
        </w:tabs>
        <w:spacing w:line="360" w:lineRule="auto"/>
        <w:ind w:left="426"/>
        <w:jc w:val="center"/>
        <w:rPr>
          <w:b/>
          <w:lang w:val="id-ID"/>
        </w:rPr>
      </w:pPr>
      <w:r>
        <w:rPr>
          <w:b/>
          <w:lang w:val="en-US"/>
        </w:rPr>
        <w:t xml:space="preserve"> </w:t>
      </w:r>
      <w:r>
        <w:rPr>
          <w:b/>
          <w:lang w:val="en-US"/>
        </w:rPr>
        <w:tab/>
      </w:r>
      <w:proofErr w:type="spellStart"/>
      <w:r w:rsidR="000266D5" w:rsidRPr="000266D5">
        <w:rPr>
          <w:b/>
          <w:lang w:val="en-US"/>
        </w:rPr>
        <w:t>Belanja</w:t>
      </w:r>
      <w:proofErr w:type="spellEnd"/>
      <w:r w:rsidR="000266D5" w:rsidRPr="000266D5">
        <w:rPr>
          <w:b/>
          <w:lang w:val="en-US"/>
        </w:rPr>
        <w:t xml:space="preserve"> </w:t>
      </w:r>
      <w:proofErr w:type="spellStart"/>
      <w:r w:rsidR="000266D5" w:rsidRPr="000266D5">
        <w:rPr>
          <w:b/>
          <w:lang w:val="en-US"/>
        </w:rPr>
        <w:t>daerah</w:t>
      </w:r>
      <w:proofErr w:type="spellEnd"/>
      <w:r w:rsidR="000266D5" w:rsidRPr="000266D5">
        <w:rPr>
          <w:b/>
          <w:lang w:val="en-US"/>
        </w:rPr>
        <w:t xml:space="preserve"> </w:t>
      </w:r>
      <w:proofErr w:type="spellStart"/>
      <w:r w:rsidR="000266D5" w:rsidRPr="000266D5">
        <w:rPr>
          <w:b/>
          <w:lang w:val="en-US"/>
        </w:rPr>
        <w:t>Kabupaten</w:t>
      </w:r>
      <w:proofErr w:type="spellEnd"/>
      <w:r w:rsidR="000266D5" w:rsidRPr="000266D5">
        <w:rPr>
          <w:b/>
          <w:lang w:val="en-US"/>
        </w:rPr>
        <w:t xml:space="preserve"> </w:t>
      </w:r>
      <w:proofErr w:type="spellStart"/>
      <w:r w:rsidR="000266D5" w:rsidRPr="000266D5">
        <w:rPr>
          <w:b/>
          <w:lang w:val="en-US"/>
        </w:rPr>
        <w:t>dan</w:t>
      </w:r>
      <w:proofErr w:type="spellEnd"/>
      <w:r w:rsidR="000266D5" w:rsidRPr="000266D5">
        <w:rPr>
          <w:b/>
          <w:lang w:val="en-US"/>
        </w:rPr>
        <w:t xml:space="preserve"> Kota di Sumatera Barat </w:t>
      </w:r>
    </w:p>
    <w:p w:rsidR="00852992" w:rsidRDefault="000176D3" w:rsidP="00B32656">
      <w:pPr>
        <w:tabs>
          <w:tab w:val="left" w:pos="1134"/>
        </w:tabs>
        <w:spacing w:line="360" w:lineRule="auto"/>
        <w:ind w:left="426"/>
        <w:jc w:val="center"/>
        <w:rPr>
          <w:b/>
          <w:lang w:val="en-US"/>
        </w:rPr>
      </w:pPr>
      <w:r>
        <w:rPr>
          <w:b/>
          <w:lang w:val="en-US"/>
        </w:rPr>
        <w:tab/>
      </w:r>
      <w:r w:rsidR="00EB001E">
        <w:rPr>
          <w:b/>
          <w:lang w:val="en-US"/>
        </w:rPr>
        <w:tab/>
      </w:r>
      <w:proofErr w:type="spellStart"/>
      <w:r w:rsidR="00DE4C07" w:rsidRPr="000266D5">
        <w:rPr>
          <w:b/>
          <w:lang w:val="en-US"/>
        </w:rPr>
        <w:t>Periode</w:t>
      </w:r>
      <w:proofErr w:type="spellEnd"/>
      <w:r w:rsidR="00DE4C07">
        <w:rPr>
          <w:b/>
          <w:lang w:val="en-US"/>
        </w:rPr>
        <w:t xml:space="preserve"> </w:t>
      </w:r>
      <w:r w:rsidR="000738D1">
        <w:rPr>
          <w:b/>
          <w:lang w:val="en-US"/>
        </w:rPr>
        <w:t>2010</w:t>
      </w:r>
      <w:r w:rsidR="000266D5" w:rsidRPr="000266D5">
        <w:rPr>
          <w:b/>
          <w:lang w:val="en-US"/>
        </w:rPr>
        <w:t>-201</w:t>
      </w:r>
      <w:r w:rsidR="000738D1">
        <w:rPr>
          <w:b/>
          <w:lang w:val="en-US"/>
        </w:rPr>
        <w:t>4</w:t>
      </w:r>
    </w:p>
    <w:tbl>
      <w:tblPr>
        <w:tblStyle w:val="TableGrid"/>
        <w:tblW w:w="0" w:type="auto"/>
        <w:tblInd w:w="2050" w:type="dxa"/>
        <w:tblLook w:val="04A0" w:firstRow="1" w:lastRow="0" w:firstColumn="1" w:lastColumn="0" w:noHBand="0" w:noVBand="1"/>
      </w:tblPr>
      <w:tblGrid>
        <w:gridCol w:w="1335"/>
        <w:gridCol w:w="2739"/>
        <w:gridCol w:w="1182"/>
      </w:tblGrid>
      <w:tr w:rsidR="00671037" w:rsidRPr="00D820C7" w:rsidTr="00D820C7">
        <w:trPr>
          <w:trHeight w:val="377"/>
        </w:trPr>
        <w:tc>
          <w:tcPr>
            <w:tcW w:w="1335" w:type="dxa"/>
          </w:tcPr>
          <w:p w:rsidR="00671037" w:rsidRPr="002B0984" w:rsidRDefault="00671037" w:rsidP="00D67E04">
            <w:pPr>
              <w:spacing w:line="360" w:lineRule="auto"/>
              <w:jc w:val="center"/>
              <w:rPr>
                <w:b/>
                <w:sz w:val="22"/>
                <w:szCs w:val="22"/>
                <w:lang w:val="en-US"/>
              </w:rPr>
            </w:pPr>
            <w:proofErr w:type="spellStart"/>
            <w:r w:rsidRPr="002B0984">
              <w:rPr>
                <w:b/>
                <w:sz w:val="22"/>
                <w:szCs w:val="22"/>
                <w:lang w:val="en-US"/>
              </w:rPr>
              <w:t>Tahun</w:t>
            </w:r>
            <w:proofErr w:type="spellEnd"/>
          </w:p>
        </w:tc>
        <w:tc>
          <w:tcPr>
            <w:tcW w:w="2739" w:type="dxa"/>
          </w:tcPr>
          <w:p w:rsidR="00671037" w:rsidRPr="002B0984" w:rsidRDefault="00671037" w:rsidP="00D67E04">
            <w:pPr>
              <w:spacing w:line="360" w:lineRule="auto"/>
              <w:jc w:val="center"/>
              <w:rPr>
                <w:b/>
                <w:sz w:val="22"/>
                <w:szCs w:val="22"/>
                <w:lang w:val="en-US"/>
              </w:rPr>
            </w:pPr>
            <w:proofErr w:type="spellStart"/>
            <w:r w:rsidRPr="002B0984">
              <w:rPr>
                <w:b/>
                <w:sz w:val="22"/>
                <w:szCs w:val="22"/>
                <w:lang w:val="en-US"/>
              </w:rPr>
              <w:t>Belanja</w:t>
            </w:r>
            <w:proofErr w:type="spellEnd"/>
            <w:r w:rsidRPr="002B0984">
              <w:rPr>
                <w:b/>
                <w:sz w:val="22"/>
                <w:szCs w:val="22"/>
                <w:lang w:val="en-US"/>
              </w:rPr>
              <w:t xml:space="preserve"> Daerah</w:t>
            </w:r>
            <w:r w:rsidR="00E47FFD" w:rsidRPr="002B0984">
              <w:rPr>
                <w:b/>
                <w:sz w:val="22"/>
                <w:szCs w:val="22"/>
                <w:lang w:val="en-US"/>
              </w:rPr>
              <w:t xml:space="preserve"> (Y)</w:t>
            </w:r>
          </w:p>
        </w:tc>
        <w:tc>
          <w:tcPr>
            <w:tcW w:w="1182" w:type="dxa"/>
          </w:tcPr>
          <w:p w:rsidR="00671037" w:rsidRPr="002B0984" w:rsidRDefault="00671037" w:rsidP="00D67E04">
            <w:pPr>
              <w:spacing w:line="360" w:lineRule="auto"/>
              <w:jc w:val="center"/>
              <w:rPr>
                <w:b/>
                <w:sz w:val="22"/>
                <w:szCs w:val="22"/>
                <w:lang w:val="en-US"/>
              </w:rPr>
            </w:pPr>
            <w:proofErr w:type="spellStart"/>
            <w:r w:rsidRPr="002B0984">
              <w:rPr>
                <w:b/>
                <w:sz w:val="22"/>
                <w:szCs w:val="22"/>
                <w:lang w:val="en-US"/>
              </w:rPr>
              <w:t>Indeks</w:t>
            </w:r>
            <w:proofErr w:type="spellEnd"/>
          </w:p>
        </w:tc>
      </w:tr>
      <w:tr w:rsidR="000738D1" w:rsidRPr="00D820C7" w:rsidTr="00E56B02">
        <w:trPr>
          <w:trHeight w:val="188"/>
        </w:trPr>
        <w:tc>
          <w:tcPr>
            <w:tcW w:w="1335" w:type="dxa"/>
          </w:tcPr>
          <w:p w:rsidR="000738D1" w:rsidRPr="002B0984" w:rsidRDefault="000738D1" w:rsidP="00D67E04">
            <w:pPr>
              <w:spacing w:line="360" w:lineRule="auto"/>
              <w:jc w:val="center"/>
              <w:rPr>
                <w:sz w:val="22"/>
                <w:szCs w:val="22"/>
                <w:lang w:val="en-US"/>
              </w:rPr>
            </w:pPr>
            <w:r w:rsidRPr="002B0984">
              <w:rPr>
                <w:sz w:val="22"/>
                <w:szCs w:val="22"/>
                <w:lang w:val="en-US"/>
              </w:rPr>
              <w:t>2010</w:t>
            </w:r>
          </w:p>
        </w:tc>
        <w:tc>
          <w:tcPr>
            <w:tcW w:w="2739" w:type="dxa"/>
            <w:vAlign w:val="center"/>
          </w:tcPr>
          <w:p w:rsidR="000738D1" w:rsidRPr="002B0984" w:rsidRDefault="000738D1" w:rsidP="00D67E04">
            <w:pPr>
              <w:spacing w:line="360" w:lineRule="auto"/>
              <w:jc w:val="center"/>
              <w:rPr>
                <w:color w:val="000000"/>
                <w:sz w:val="22"/>
                <w:szCs w:val="22"/>
              </w:rPr>
            </w:pPr>
            <w:r w:rsidRPr="002B0984">
              <w:rPr>
                <w:color w:val="000000"/>
                <w:sz w:val="22"/>
                <w:szCs w:val="22"/>
              </w:rPr>
              <w:t>9,955,727,793,177.10</w:t>
            </w:r>
          </w:p>
        </w:tc>
        <w:tc>
          <w:tcPr>
            <w:tcW w:w="1182" w:type="dxa"/>
            <w:vAlign w:val="center"/>
          </w:tcPr>
          <w:p w:rsidR="000738D1" w:rsidRPr="002B0984" w:rsidRDefault="000738D1" w:rsidP="00D67E04">
            <w:pPr>
              <w:spacing w:line="360" w:lineRule="auto"/>
              <w:jc w:val="center"/>
              <w:rPr>
                <w:color w:val="000000"/>
                <w:sz w:val="22"/>
                <w:szCs w:val="22"/>
              </w:rPr>
            </w:pPr>
            <w:r w:rsidRPr="002B0984">
              <w:rPr>
                <w:color w:val="000000"/>
                <w:sz w:val="22"/>
                <w:szCs w:val="22"/>
              </w:rPr>
              <w:t>100%</w:t>
            </w:r>
          </w:p>
        </w:tc>
      </w:tr>
      <w:tr w:rsidR="000738D1" w:rsidRPr="00D820C7" w:rsidTr="00E56B02">
        <w:tc>
          <w:tcPr>
            <w:tcW w:w="1335" w:type="dxa"/>
          </w:tcPr>
          <w:p w:rsidR="000738D1" w:rsidRPr="002B0984" w:rsidRDefault="000738D1" w:rsidP="00D67E04">
            <w:pPr>
              <w:spacing w:line="360" w:lineRule="auto"/>
              <w:jc w:val="center"/>
              <w:rPr>
                <w:sz w:val="22"/>
                <w:szCs w:val="22"/>
                <w:lang w:val="en-US"/>
              </w:rPr>
            </w:pPr>
            <w:r w:rsidRPr="002B0984">
              <w:rPr>
                <w:sz w:val="22"/>
                <w:szCs w:val="22"/>
                <w:lang w:val="en-US"/>
              </w:rPr>
              <w:t>2011</w:t>
            </w:r>
          </w:p>
        </w:tc>
        <w:tc>
          <w:tcPr>
            <w:tcW w:w="2739" w:type="dxa"/>
            <w:vAlign w:val="center"/>
          </w:tcPr>
          <w:p w:rsidR="000738D1" w:rsidRPr="002B0984" w:rsidRDefault="000738D1" w:rsidP="00D67E04">
            <w:pPr>
              <w:spacing w:line="360" w:lineRule="auto"/>
              <w:jc w:val="center"/>
              <w:rPr>
                <w:color w:val="000000"/>
                <w:sz w:val="22"/>
                <w:szCs w:val="22"/>
              </w:rPr>
            </w:pPr>
            <w:r w:rsidRPr="002B0984">
              <w:rPr>
                <w:color w:val="000000"/>
                <w:sz w:val="22"/>
                <w:szCs w:val="22"/>
              </w:rPr>
              <w:t>10,989,893,770,762.00</w:t>
            </w:r>
          </w:p>
        </w:tc>
        <w:tc>
          <w:tcPr>
            <w:tcW w:w="1182" w:type="dxa"/>
            <w:vAlign w:val="center"/>
          </w:tcPr>
          <w:p w:rsidR="000738D1" w:rsidRPr="002B0984" w:rsidRDefault="000738D1" w:rsidP="00D67E04">
            <w:pPr>
              <w:spacing w:line="360" w:lineRule="auto"/>
              <w:jc w:val="center"/>
              <w:rPr>
                <w:color w:val="000000"/>
                <w:sz w:val="22"/>
                <w:szCs w:val="22"/>
              </w:rPr>
            </w:pPr>
            <w:r w:rsidRPr="002B0984">
              <w:rPr>
                <w:color w:val="000000"/>
                <w:sz w:val="22"/>
                <w:szCs w:val="22"/>
              </w:rPr>
              <w:t>110 %</w:t>
            </w:r>
          </w:p>
        </w:tc>
      </w:tr>
      <w:tr w:rsidR="000738D1" w:rsidRPr="00D820C7" w:rsidTr="00E56B02">
        <w:tc>
          <w:tcPr>
            <w:tcW w:w="1335" w:type="dxa"/>
          </w:tcPr>
          <w:p w:rsidR="000738D1" w:rsidRPr="002B0984" w:rsidRDefault="000738D1" w:rsidP="00D67E04">
            <w:pPr>
              <w:spacing w:line="360" w:lineRule="auto"/>
              <w:jc w:val="center"/>
              <w:rPr>
                <w:sz w:val="22"/>
                <w:szCs w:val="22"/>
                <w:lang w:val="en-US"/>
              </w:rPr>
            </w:pPr>
            <w:r w:rsidRPr="002B0984">
              <w:rPr>
                <w:sz w:val="22"/>
                <w:szCs w:val="22"/>
                <w:lang w:val="en-US"/>
              </w:rPr>
              <w:t>2012</w:t>
            </w:r>
          </w:p>
        </w:tc>
        <w:tc>
          <w:tcPr>
            <w:tcW w:w="2739" w:type="dxa"/>
            <w:vAlign w:val="center"/>
          </w:tcPr>
          <w:p w:rsidR="000738D1" w:rsidRPr="002B0984" w:rsidRDefault="000738D1" w:rsidP="00D67E04">
            <w:pPr>
              <w:spacing w:line="360" w:lineRule="auto"/>
              <w:jc w:val="center"/>
              <w:rPr>
                <w:color w:val="000000"/>
                <w:sz w:val="22"/>
                <w:szCs w:val="22"/>
              </w:rPr>
            </w:pPr>
            <w:r w:rsidRPr="002B0984">
              <w:rPr>
                <w:color w:val="000000"/>
                <w:sz w:val="22"/>
                <w:szCs w:val="22"/>
              </w:rPr>
              <w:t>12,607,350,043,261.10</w:t>
            </w:r>
          </w:p>
        </w:tc>
        <w:tc>
          <w:tcPr>
            <w:tcW w:w="1182" w:type="dxa"/>
            <w:vAlign w:val="center"/>
          </w:tcPr>
          <w:p w:rsidR="000738D1" w:rsidRPr="002B0984" w:rsidRDefault="000738D1" w:rsidP="00D67E04">
            <w:pPr>
              <w:spacing w:line="360" w:lineRule="auto"/>
              <w:jc w:val="center"/>
              <w:rPr>
                <w:color w:val="000000"/>
                <w:sz w:val="22"/>
                <w:szCs w:val="22"/>
              </w:rPr>
            </w:pPr>
            <w:r w:rsidRPr="002B0984">
              <w:rPr>
                <w:color w:val="000000"/>
                <w:sz w:val="22"/>
                <w:szCs w:val="22"/>
              </w:rPr>
              <w:t>115 %</w:t>
            </w:r>
          </w:p>
        </w:tc>
      </w:tr>
      <w:tr w:rsidR="000738D1" w:rsidRPr="00D820C7" w:rsidTr="00E56B02">
        <w:tc>
          <w:tcPr>
            <w:tcW w:w="1335" w:type="dxa"/>
          </w:tcPr>
          <w:p w:rsidR="000738D1" w:rsidRPr="002B0984" w:rsidRDefault="000738D1" w:rsidP="00D67E04">
            <w:pPr>
              <w:spacing w:line="360" w:lineRule="auto"/>
              <w:jc w:val="center"/>
              <w:rPr>
                <w:sz w:val="22"/>
                <w:szCs w:val="22"/>
                <w:lang w:val="en-US"/>
              </w:rPr>
            </w:pPr>
            <w:r w:rsidRPr="002B0984">
              <w:rPr>
                <w:sz w:val="22"/>
                <w:szCs w:val="22"/>
                <w:lang w:val="en-US"/>
              </w:rPr>
              <w:t>2013</w:t>
            </w:r>
          </w:p>
        </w:tc>
        <w:tc>
          <w:tcPr>
            <w:tcW w:w="2739" w:type="dxa"/>
            <w:vAlign w:val="center"/>
          </w:tcPr>
          <w:p w:rsidR="000738D1" w:rsidRPr="002B0984" w:rsidRDefault="000738D1" w:rsidP="00D67E04">
            <w:pPr>
              <w:spacing w:line="360" w:lineRule="auto"/>
              <w:jc w:val="center"/>
              <w:rPr>
                <w:color w:val="000000"/>
                <w:sz w:val="22"/>
                <w:szCs w:val="22"/>
              </w:rPr>
            </w:pPr>
            <w:r w:rsidRPr="002B0984">
              <w:rPr>
                <w:color w:val="000000"/>
                <w:sz w:val="22"/>
                <w:szCs w:val="22"/>
              </w:rPr>
              <w:t>14,215,138,502,184.30</w:t>
            </w:r>
          </w:p>
        </w:tc>
        <w:tc>
          <w:tcPr>
            <w:tcW w:w="1182" w:type="dxa"/>
            <w:vAlign w:val="center"/>
          </w:tcPr>
          <w:p w:rsidR="000738D1" w:rsidRPr="002B0984" w:rsidRDefault="000738D1" w:rsidP="00D67E04">
            <w:pPr>
              <w:spacing w:line="360" w:lineRule="auto"/>
              <w:jc w:val="center"/>
              <w:rPr>
                <w:color w:val="000000"/>
                <w:sz w:val="22"/>
                <w:szCs w:val="22"/>
              </w:rPr>
            </w:pPr>
            <w:r w:rsidRPr="002B0984">
              <w:rPr>
                <w:color w:val="000000"/>
                <w:sz w:val="22"/>
                <w:szCs w:val="22"/>
              </w:rPr>
              <w:t>113 %</w:t>
            </w:r>
          </w:p>
        </w:tc>
      </w:tr>
      <w:tr w:rsidR="000738D1" w:rsidRPr="00D820C7" w:rsidTr="00E56B02">
        <w:tc>
          <w:tcPr>
            <w:tcW w:w="1335" w:type="dxa"/>
          </w:tcPr>
          <w:p w:rsidR="000738D1" w:rsidRPr="002B0984" w:rsidRDefault="000738D1" w:rsidP="00D67E04">
            <w:pPr>
              <w:spacing w:line="360" w:lineRule="auto"/>
              <w:jc w:val="center"/>
              <w:rPr>
                <w:sz w:val="22"/>
                <w:szCs w:val="22"/>
                <w:lang w:val="en-US"/>
              </w:rPr>
            </w:pPr>
            <w:r w:rsidRPr="002B0984">
              <w:rPr>
                <w:sz w:val="22"/>
                <w:szCs w:val="22"/>
                <w:lang w:val="en-US"/>
              </w:rPr>
              <w:t>2014</w:t>
            </w:r>
          </w:p>
        </w:tc>
        <w:tc>
          <w:tcPr>
            <w:tcW w:w="2739" w:type="dxa"/>
            <w:vAlign w:val="center"/>
          </w:tcPr>
          <w:p w:rsidR="000738D1" w:rsidRPr="002B0984" w:rsidRDefault="000738D1" w:rsidP="00D67E04">
            <w:pPr>
              <w:spacing w:line="360" w:lineRule="auto"/>
              <w:jc w:val="center"/>
              <w:rPr>
                <w:color w:val="000000"/>
                <w:sz w:val="22"/>
                <w:szCs w:val="22"/>
              </w:rPr>
            </w:pPr>
            <w:r w:rsidRPr="002B0984">
              <w:rPr>
                <w:color w:val="000000"/>
                <w:sz w:val="22"/>
                <w:szCs w:val="22"/>
              </w:rPr>
              <w:t>16,836,791,461,647.20</w:t>
            </w:r>
          </w:p>
        </w:tc>
        <w:tc>
          <w:tcPr>
            <w:tcW w:w="1182" w:type="dxa"/>
            <w:vAlign w:val="center"/>
          </w:tcPr>
          <w:p w:rsidR="000738D1" w:rsidRPr="002B0984" w:rsidRDefault="000738D1" w:rsidP="00D67E04">
            <w:pPr>
              <w:spacing w:line="360" w:lineRule="auto"/>
              <w:jc w:val="center"/>
              <w:rPr>
                <w:color w:val="000000"/>
                <w:sz w:val="22"/>
                <w:szCs w:val="22"/>
              </w:rPr>
            </w:pPr>
            <w:r w:rsidRPr="002B0984">
              <w:rPr>
                <w:color w:val="000000"/>
                <w:sz w:val="22"/>
                <w:szCs w:val="22"/>
              </w:rPr>
              <w:t>118 %</w:t>
            </w:r>
          </w:p>
        </w:tc>
      </w:tr>
      <w:tr w:rsidR="000738D1" w:rsidRPr="00D820C7" w:rsidTr="00E56B02">
        <w:tc>
          <w:tcPr>
            <w:tcW w:w="1335" w:type="dxa"/>
          </w:tcPr>
          <w:p w:rsidR="000738D1" w:rsidRPr="002B0984" w:rsidRDefault="000738D1" w:rsidP="00D67E04">
            <w:pPr>
              <w:spacing w:line="360" w:lineRule="auto"/>
              <w:jc w:val="center"/>
              <w:rPr>
                <w:b/>
                <w:sz w:val="22"/>
                <w:szCs w:val="22"/>
                <w:lang w:val="en-US"/>
              </w:rPr>
            </w:pPr>
            <w:r w:rsidRPr="002B0984">
              <w:rPr>
                <w:b/>
                <w:sz w:val="22"/>
                <w:szCs w:val="22"/>
                <w:lang w:val="en-US"/>
              </w:rPr>
              <w:t>Total</w:t>
            </w:r>
          </w:p>
        </w:tc>
        <w:tc>
          <w:tcPr>
            <w:tcW w:w="2739" w:type="dxa"/>
            <w:vAlign w:val="center"/>
          </w:tcPr>
          <w:p w:rsidR="000738D1" w:rsidRPr="002B0984" w:rsidRDefault="000738D1" w:rsidP="00D67E04">
            <w:pPr>
              <w:spacing w:line="360" w:lineRule="auto"/>
              <w:jc w:val="center"/>
              <w:rPr>
                <w:color w:val="000000"/>
                <w:sz w:val="22"/>
                <w:szCs w:val="22"/>
              </w:rPr>
            </w:pPr>
            <w:r w:rsidRPr="002B0984">
              <w:rPr>
                <w:b/>
                <w:color w:val="000000"/>
                <w:sz w:val="22"/>
                <w:szCs w:val="22"/>
              </w:rPr>
              <w:t>64,604,901,571,031.70</w:t>
            </w:r>
          </w:p>
        </w:tc>
        <w:tc>
          <w:tcPr>
            <w:tcW w:w="1182" w:type="dxa"/>
            <w:vAlign w:val="center"/>
          </w:tcPr>
          <w:p w:rsidR="000738D1" w:rsidRPr="002B0984" w:rsidRDefault="00043B97" w:rsidP="00D67E04">
            <w:pPr>
              <w:spacing w:line="360" w:lineRule="auto"/>
              <w:jc w:val="center"/>
              <w:rPr>
                <w:color w:val="000000"/>
                <w:sz w:val="22"/>
                <w:szCs w:val="22"/>
              </w:rPr>
            </w:pPr>
            <w:r w:rsidRPr="002B0984">
              <w:rPr>
                <w:color w:val="000000"/>
                <w:sz w:val="22"/>
                <w:szCs w:val="22"/>
              </w:rPr>
              <w:t>556 %</w:t>
            </w:r>
          </w:p>
        </w:tc>
      </w:tr>
      <w:tr w:rsidR="000738D1" w:rsidRPr="00D820C7" w:rsidTr="00E56B02">
        <w:tc>
          <w:tcPr>
            <w:tcW w:w="1335" w:type="dxa"/>
          </w:tcPr>
          <w:p w:rsidR="000738D1" w:rsidRPr="002B0984" w:rsidRDefault="000738D1" w:rsidP="00D67E04">
            <w:pPr>
              <w:spacing w:line="360" w:lineRule="auto"/>
              <w:jc w:val="center"/>
              <w:rPr>
                <w:b/>
                <w:sz w:val="22"/>
                <w:szCs w:val="22"/>
                <w:lang w:val="en-US"/>
              </w:rPr>
            </w:pPr>
            <w:r w:rsidRPr="002B0984">
              <w:rPr>
                <w:b/>
                <w:sz w:val="22"/>
                <w:szCs w:val="22"/>
                <w:lang w:val="en-US"/>
              </w:rPr>
              <w:t>Rata-Rata</w:t>
            </w:r>
          </w:p>
        </w:tc>
        <w:tc>
          <w:tcPr>
            <w:tcW w:w="2739" w:type="dxa"/>
            <w:vAlign w:val="center"/>
          </w:tcPr>
          <w:p w:rsidR="000738D1" w:rsidRPr="002B0984" w:rsidRDefault="000738D1" w:rsidP="00D67E04">
            <w:pPr>
              <w:spacing w:line="360" w:lineRule="auto"/>
              <w:jc w:val="center"/>
              <w:rPr>
                <w:color w:val="000000"/>
                <w:sz w:val="22"/>
                <w:szCs w:val="22"/>
              </w:rPr>
            </w:pPr>
            <w:r w:rsidRPr="002B0984">
              <w:rPr>
                <w:b/>
                <w:color w:val="000000"/>
                <w:sz w:val="22"/>
                <w:szCs w:val="22"/>
              </w:rPr>
              <w:t>12,920,980,314,206</w:t>
            </w:r>
          </w:p>
        </w:tc>
        <w:tc>
          <w:tcPr>
            <w:tcW w:w="1182" w:type="dxa"/>
            <w:vAlign w:val="center"/>
          </w:tcPr>
          <w:p w:rsidR="000738D1" w:rsidRPr="002B0984" w:rsidRDefault="00043B97" w:rsidP="00D67E04">
            <w:pPr>
              <w:spacing w:line="360" w:lineRule="auto"/>
              <w:jc w:val="center"/>
              <w:rPr>
                <w:color w:val="000000"/>
                <w:sz w:val="22"/>
                <w:szCs w:val="22"/>
              </w:rPr>
            </w:pPr>
            <w:r w:rsidRPr="002B0984">
              <w:rPr>
                <w:color w:val="000000"/>
                <w:sz w:val="22"/>
                <w:szCs w:val="22"/>
              </w:rPr>
              <w:t>112.2 %</w:t>
            </w:r>
          </w:p>
        </w:tc>
      </w:tr>
    </w:tbl>
    <w:p w:rsidR="002F084C" w:rsidRPr="001C4EC8" w:rsidRDefault="00E24732" w:rsidP="00DE4C07">
      <w:pPr>
        <w:spacing w:line="480" w:lineRule="auto"/>
        <w:ind w:left="1985"/>
        <w:rPr>
          <w:i/>
          <w:lang w:val="id-ID"/>
        </w:rPr>
      </w:pPr>
      <w:proofErr w:type="spellStart"/>
      <w:proofErr w:type="gramStart"/>
      <w:r w:rsidRPr="002F084C">
        <w:rPr>
          <w:i/>
          <w:lang w:val="en-US"/>
        </w:rPr>
        <w:t>Sumber</w:t>
      </w:r>
      <w:proofErr w:type="spellEnd"/>
      <w:r w:rsidRPr="002F084C">
        <w:rPr>
          <w:i/>
          <w:lang w:val="en-US"/>
        </w:rPr>
        <w:t xml:space="preserve"> :</w:t>
      </w:r>
      <w:r w:rsidR="000738D1">
        <w:rPr>
          <w:i/>
          <w:lang w:val="en-US"/>
        </w:rPr>
        <w:t>DPKD</w:t>
      </w:r>
      <w:proofErr w:type="gramEnd"/>
      <w:r w:rsidR="000738D1">
        <w:rPr>
          <w:i/>
          <w:lang w:val="en-US"/>
        </w:rPr>
        <w:t xml:space="preserve"> </w:t>
      </w:r>
      <w:proofErr w:type="spellStart"/>
      <w:r w:rsidR="000738D1">
        <w:rPr>
          <w:i/>
          <w:lang w:val="en-US"/>
        </w:rPr>
        <w:t>Sumbar</w:t>
      </w:r>
      <w:proofErr w:type="spellEnd"/>
      <w:r w:rsidRPr="002F084C">
        <w:rPr>
          <w:i/>
          <w:lang w:val="en-US"/>
        </w:rPr>
        <w:t xml:space="preserve">, </w:t>
      </w:r>
      <w:proofErr w:type="spellStart"/>
      <w:r w:rsidRPr="002F084C">
        <w:rPr>
          <w:i/>
          <w:lang w:val="en-US"/>
        </w:rPr>
        <w:t>diolah</w:t>
      </w:r>
      <w:proofErr w:type="spellEnd"/>
    </w:p>
    <w:p w:rsidR="00E24732" w:rsidRPr="00DD70E5" w:rsidRDefault="003657FA" w:rsidP="00DE4C07">
      <w:pPr>
        <w:spacing w:line="480" w:lineRule="auto"/>
        <w:ind w:left="432" w:firstLine="738"/>
        <w:jc w:val="both"/>
        <w:rPr>
          <w:lang w:val="en-US"/>
        </w:rPr>
      </w:pPr>
      <w:proofErr w:type="spellStart"/>
      <w:r>
        <w:rPr>
          <w:lang w:val="en-US"/>
        </w:rPr>
        <w:t>Berdasarkan</w:t>
      </w:r>
      <w:proofErr w:type="spellEnd"/>
      <w:r>
        <w:rPr>
          <w:lang w:val="en-US"/>
        </w:rPr>
        <w:t xml:space="preserve"> </w:t>
      </w:r>
      <w:proofErr w:type="spellStart"/>
      <w:r>
        <w:rPr>
          <w:lang w:val="en-US"/>
        </w:rPr>
        <w:t>pada</w:t>
      </w:r>
      <w:proofErr w:type="spellEnd"/>
      <w:r>
        <w:rPr>
          <w:lang w:val="en-US"/>
        </w:rPr>
        <w:t xml:space="preserve"> </w:t>
      </w:r>
      <w:proofErr w:type="spellStart"/>
      <w:r>
        <w:rPr>
          <w:lang w:val="en-US"/>
        </w:rPr>
        <w:t>Tabel</w:t>
      </w:r>
      <w:proofErr w:type="spellEnd"/>
      <w:r>
        <w:rPr>
          <w:lang w:val="en-US"/>
        </w:rPr>
        <w:t xml:space="preserve"> 1</w:t>
      </w:r>
      <w:r w:rsidR="00E24732" w:rsidRPr="00DD70E5">
        <w:rPr>
          <w:lang w:val="en-US"/>
        </w:rPr>
        <w:t xml:space="preserve">, </w:t>
      </w:r>
      <w:proofErr w:type="spellStart"/>
      <w:r w:rsidR="00E24732" w:rsidRPr="00DD70E5">
        <w:rPr>
          <w:lang w:val="en-US"/>
        </w:rPr>
        <w:t>dapat</w:t>
      </w:r>
      <w:proofErr w:type="spellEnd"/>
      <w:r w:rsidR="00E24732" w:rsidRPr="00DD70E5">
        <w:rPr>
          <w:lang w:val="en-US"/>
        </w:rPr>
        <w:t xml:space="preserve"> </w:t>
      </w:r>
      <w:proofErr w:type="spellStart"/>
      <w:r w:rsidR="00E24732" w:rsidRPr="00DD70E5">
        <w:rPr>
          <w:lang w:val="en-US"/>
        </w:rPr>
        <w:t>dilihat</w:t>
      </w:r>
      <w:proofErr w:type="spellEnd"/>
      <w:r w:rsidR="00E24732" w:rsidRPr="00DD70E5">
        <w:rPr>
          <w:lang w:val="en-US"/>
        </w:rPr>
        <w:t xml:space="preserve"> </w:t>
      </w:r>
      <w:proofErr w:type="spellStart"/>
      <w:r w:rsidR="00E24732" w:rsidRPr="00DD70E5">
        <w:rPr>
          <w:lang w:val="en-US"/>
        </w:rPr>
        <w:t>bahwa</w:t>
      </w:r>
      <w:proofErr w:type="spellEnd"/>
      <w:r w:rsidR="00E24732" w:rsidRPr="00DD70E5">
        <w:rPr>
          <w:lang w:val="en-US"/>
        </w:rPr>
        <w:t xml:space="preserve"> </w:t>
      </w:r>
      <w:proofErr w:type="spellStart"/>
      <w:r w:rsidR="00E24732" w:rsidRPr="00DD70E5">
        <w:rPr>
          <w:lang w:val="en-US"/>
        </w:rPr>
        <w:t>dari</w:t>
      </w:r>
      <w:proofErr w:type="spellEnd"/>
      <w:r w:rsidR="00E24732" w:rsidRPr="00DD70E5">
        <w:rPr>
          <w:lang w:val="en-US"/>
        </w:rPr>
        <w:t xml:space="preserve"> </w:t>
      </w:r>
      <w:proofErr w:type="spellStart"/>
      <w:r w:rsidR="00E24732" w:rsidRPr="00DD70E5">
        <w:rPr>
          <w:lang w:val="en-US"/>
        </w:rPr>
        <w:t>tahun</w:t>
      </w:r>
      <w:proofErr w:type="spellEnd"/>
      <w:r w:rsidR="00E24732" w:rsidRPr="00DD70E5">
        <w:rPr>
          <w:lang w:val="en-US"/>
        </w:rPr>
        <w:t xml:space="preserve"> </w:t>
      </w:r>
      <w:r w:rsidR="000440E7">
        <w:rPr>
          <w:lang w:val="en-US"/>
        </w:rPr>
        <w:t xml:space="preserve">2010 </w:t>
      </w:r>
      <w:proofErr w:type="spellStart"/>
      <w:r w:rsidR="000440E7">
        <w:rPr>
          <w:lang w:val="en-US"/>
        </w:rPr>
        <w:t>sampai</w:t>
      </w:r>
      <w:proofErr w:type="spellEnd"/>
      <w:r w:rsidR="000440E7">
        <w:rPr>
          <w:lang w:val="en-US"/>
        </w:rPr>
        <w:t xml:space="preserve"> </w:t>
      </w:r>
      <w:proofErr w:type="spellStart"/>
      <w:r w:rsidR="000440E7">
        <w:rPr>
          <w:lang w:val="en-US"/>
        </w:rPr>
        <w:t>tahun</w:t>
      </w:r>
      <w:proofErr w:type="spellEnd"/>
      <w:r w:rsidR="000440E7">
        <w:rPr>
          <w:lang w:val="en-US"/>
        </w:rPr>
        <w:t xml:space="preserve"> 2012 </w:t>
      </w:r>
      <w:proofErr w:type="spellStart"/>
      <w:r w:rsidR="00E24732" w:rsidRPr="00DD70E5">
        <w:rPr>
          <w:lang w:val="en-US"/>
        </w:rPr>
        <w:t>terjadi</w:t>
      </w:r>
      <w:proofErr w:type="spellEnd"/>
      <w:r w:rsidR="00E24732" w:rsidRPr="00DD70E5">
        <w:rPr>
          <w:lang w:val="en-US"/>
        </w:rPr>
        <w:t xml:space="preserve"> </w:t>
      </w:r>
      <w:proofErr w:type="spellStart"/>
      <w:r w:rsidR="00E24732" w:rsidRPr="00DD70E5">
        <w:rPr>
          <w:lang w:val="en-US"/>
        </w:rPr>
        <w:t>peningkatan</w:t>
      </w:r>
      <w:proofErr w:type="spellEnd"/>
      <w:r w:rsidR="00E24732" w:rsidRPr="00DD70E5">
        <w:rPr>
          <w:lang w:val="en-US"/>
        </w:rPr>
        <w:t xml:space="preserve"> </w:t>
      </w:r>
      <w:proofErr w:type="spellStart"/>
      <w:r w:rsidR="000440E7">
        <w:rPr>
          <w:lang w:val="en-US"/>
        </w:rPr>
        <w:t>indeks</w:t>
      </w:r>
      <w:proofErr w:type="spellEnd"/>
      <w:r w:rsidR="000440E7">
        <w:rPr>
          <w:lang w:val="en-US"/>
        </w:rPr>
        <w:t xml:space="preserve"> </w:t>
      </w:r>
      <w:proofErr w:type="spellStart"/>
      <w:r w:rsidR="00E24732" w:rsidRPr="00DD70E5">
        <w:rPr>
          <w:lang w:val="en-US"/>
        </w:rPr>
        <w:t>belanja</w:t>
      </w:r>
      <w:proofErr w:type="spellEnd"/>
      <w:r w:rsidR="00E24732" w:rsidRPr="00DD70E5">
        <w:rPr>
          <w:lang w:val="en-US"/>
        </w:rPr>
        <w:t xml:space="preserve"> </w:t>
      </w:r>
      <w:proofErr w:type="spellStart"/>
      <w:r w:rsidR="00E24732" w:rsidRPr="00DD70E5">
        <w:rPr>
          <w:lang w:val="en-US"/>
        </w:rPr>
        <w:t>daerah</w:t>
      </w:r>
      <w:proofErr w:type="spellEnd"/>
      <w:r w:rsidR="00E24732" w:rsidRPr="00DD70E5">
        <w:rPr>
          <w:lang w:val="en-US"/>
        </w:rPr>
        <w:t xml:space="preserve"> </w:t>
      </w:r>
      <w:proofErr w:type="spellStart"/>
      <w:r w:rsidR="000440E7">
        <w:rPr>
          <w:lang w:val="en-US"/>
        </w:rPr>
        <w:t>pada</w:t>
      </w:r>
      <w:proofErr w:type="spellEnd"/>
      <w:r w:rsidR="000440E7">
        <w:rPr>
          <w:lang w:val="en-US"/>
        </w:rPr>
        <w:t xml:space="preserve"> </w:t>
      </w:r>
      <w:proofErr w:type="spellStart"/>
      <w:r w:rsidR="00E24732" w:rsidRPr="00DD70E5">
        <w:rPr>
          <w:lang w:val="en-US"/>
        </w:rPr>
        <w:t>kabupaten</w:t>
      </w:r>
      <w:proofErr w:type="spellEnd"/>
      <w:r w:rsidR="00E24732" w:rsidRPr="00DD70E5">
        <w:rPr>
          <w:lang w:val="en-US"/>
        </w:rPr>
        <w:t xml:space="preserve"> </w:t>
      </w:r>
      <w:proofErr w:type="spellStart"/>
      <w:r w:rsidR="00E24732" w:rsidRPr="00DD70E5">
        <w:rPr>
          <w:lang w:val="en-US"/>
        </w:rPr>
        <w:t>dan</w:t>
      </w:r>
      <w:proofErr w:type="spellEnd"/>
      <w:r w:rsidR="00E24732" w:rsidRPr="00DD70E5">
        <w:rPr>
          <w:lang w:val="en-US"/>
        </w:rPr>
        <w:t xml:space="preserve">  </w:t>
      </w:r>
      <w:proofErr w:type="spellStart"/>
      <w:r w:rsidR="00E24732" w:rsidRPr="00DD70E5">
        <w:rPr>
          <w:lang w:val="en-US"/>
        </w:rPr>
        <w:t>kota</w:t>
      </w:r>
      <w:proofErr w:type="spellEnd"/>
      <w:r w:rsidR="00E24732" w:rsidRPr="00DD70E5">
        <w:rPr>
          <w:lang w:val="en-US"/>
        </w:rPr>
        <w:t xml:space="preserve"> di Sumatera Barat</w:t>
      </w:r>
      <w:r w:rsidR="000440E7">
        <w:rPr>
          <w:lang w:val="en-US"/>
        </w:rPr>
        <w:t>,</w:t>
      </w:r>
      <w:r w:rsidR="00623514">
        <w:rPr>
          <w:lang w:val="en-US"/>
        </w:rPr>
        <w:t xml:space="preserve"> </w:t>
      </w:r>
      <w:proofErr w:type="spellStart"/>
      <w:r w:rsidR="000440E7">
        <w:rPr>
          <w:lang w:val="en-US"/>
        </w:rPr>
        <w:t>namun</w:t>
      </w:r>
      <w:proofErr w:type="spellEnd"/>
      <w:r w:rsidR="000440E7">
        <w:rPr>
          <w:lang w:val="en-US"/>
        </w:rPr>
        <w:t xml:space="preserve"> </w:t>
      </w:r>
      <w:proofErr w:type="spellStart"/>
      <w:r w:rsidR="000440E7">
        <w:rPr>
          <w:lang w:val="en-US"/>
        </w:rPr>
        <w:t>pada</w:t>
      </w:r>
      <w:proofErr w:type="spellEnd"/>
      <w:r w:rsidR="000440E7">
        <w:rPr>
          <w:lang w:val="en-US"/>
        </w:rPr>
        <w:t xml:space="preserve"> </w:t>
      </w:r>
      <w:proofErr w:type="spellStart"/>
      <w:r w:rsidR="000440E7">
        <w:rPr>
          <w:lang w:val="en-US"/>
        </w:rPr>
        <w:t>tahun</w:t>
      </w:r>
      <w:proofErr w:type="spellEnd"/>
      <w:r w:rsidR="002C3BF5">
        <w:rPr>
          <w:lang w:val="en-US"/>
        </w:rPr>
        <w:t xml:space="preserve"> 2013 </w:t>
      </w:r>
      <w:proofErr w:type="spellStart"/>
      <w:r w:rsidR="000440E7">
        <w:rPr>
          <w:lang w:val="en-US"/>
        </w:rPr>
        <w:t>belanja</w:t>
      </w:r>
      <w:proofErr w:type="spellEnd"/>
      <w:r w:rsidR="000440E7">
        <w:rPr>
          <w:lang w:val="en-US"/>
        </w:rPr>
        <w:t xml:space="preserve"> </w:t>
      </w:r>
      <w:proofErr w:type="spellStart"/>
      <w:r w:rsidR="000440E7">
        <w:rPr>
          <w:lang w:val="en-US"/>
        </w:rPr>
        <w:t>daerah</w:t>
      </w:r>
      <w:proofErr w:type="spellEnd"/>
      <w:r w:rsidR="000440E7">
        <w:rPr>
          <w:lang w:val="en-US"/>
        </w:rPr>
        <w:t xml:space="preserve"> </w:t>
      </w:r>
      <w:proofErr w:type="spellStart"/>
      <w:r w:rsidR="000440E7">
        <w:rPr>
          <w:lang w:val="en-US"/>
        </w:rPr>
        <w:t>mengalami</w:t>
      </w:r>
      <w:proofErr w:type="spellEnd"/>
      <w:r w:rsidR="000440E7">
        <w:rPr>
          <w:lang w:val="en-US"/>
        </w:rPr>
        <w:t xml:space="preserve"> </w:t>
      </w:r>
      <w:proofErr w:type="spellStart"/>
      <w:r w:rsidR="000440E7">
        <w:rPr>
          <w:lang w:val="en-US"/>
        </w:rPr>
        <w:t>penu</w:t>
      </w:r>
      <w:r w:rsidR="002C3BF5">
        <w:rPr>
          <w:lang w:val="en-US"/>
        </w:rPr>
        <w:t>r</w:t>
      </w:r>
      <w:r w:rsidR="000440E7">
        <w:rPr>
          <w:lang w:val="en-US"/>
        </w:rPr>
        <w:t>unan</w:t>
      </w:r>
      <w:proofErr w:type="spellEnd"/>
      <w:r w:rsidR="002C3BF5">
        <w:rPr>
          <w:lang w:val="en-US"/>
        </w:rPr>
        <w:t xml:space="preserve"> </w:t>
      </w:r>
      <w:proofErr w:type="spellStart"/>
      <w:r w:rsidR="002C3BF5">
        <w:rPr>
          <w:lang w:val="en-US"/>
        </w:rPr>
        <w:t>indeks</w:t>
      </w:r>
      <w:proofErr w:type="spellEnd"/>
      <w:r w:rsidR="000440E7">
        <w:rPr>
          <w:lang w:val="en-US"/>
        </w:rPr>
        <w:t xml:space="preserve">, </w:t>
      </w:r>
      <w:proofErr w:type="spellStart"/>
      <w:r w:rsidR="000440E7">
        <w:rPr>
          <w:lang w:val="en-US"/>
        </w:rPr>
        <w:t>dan</w:t>
      </w:r>
      <w:proofErr w:type="spellEnd"/>
      <w:r w:rsidR="000440E7">
        <w:rPr>
          <w:lang w:val="en-US"/>
        </w:rPr>
        <w:t xml:space="preserve"> </w:t>
      </w:r>
      <w:proofErr w:type="spellStart"/>
      <w:r w:rsidR="000440E7">
        <w:rPr>
          <w:lang w:val="en-US"/>
        </w:rPr>
        <w:t>terjadi</w:t>
      </w:r>
      <w:proofErr w:type="spellEnd"/>
      <w:r w:rsidR="000440E7">
        <w:rPr>
          <w:lang w:val="en-US"/>
        </w:rPr>
        <w:t xml:space="preserve"> </w:t>
      </w:r>
      <w:proofErr w:type="spellStart"/>
      <w:r w:rsidR="000440E7">
        <w:rPr>
          <w:lang w:val="en-US"/>
        </w:rPr>
        <w:t>peningkatan</w:t>
      </w:r>
      <w:proofErr w:type="spellEnd"/>
      <w:r w:rsidR="000440E7">
        <w:rPr>
          <w:lang w:val="en-US"/>
        </w:rPr>
        <w:t xml:space="preserve"> </w:t>
      </w:r>
      <w:proofErr w:type="spellStart"/>
      <w:r w:rsidR="000440E7">
        <w:rPr>
          <w:lang w:val="en-US"/>
        </w:rPr>
        <w:t>indeks</w:t>
      </w:r>
      <w:proofErr w:type="spellEnd"/>
      <w:r w:rsidR="000440E7">
        <w:rPr>
          <w:lang w:val="en-US"/>
        </w:rPr>
        <w:t xml:space="preserve"> </w:t>
      </w:r>
      <w:proofErr w:type="spellStart"/>
      <w:r w:rsidR="000440E7">
        <w:rPr>
          <w:lang w:val="en-US"/>
        </w:rPr>
        <w:t>kembali</w:t>
      </w:r>
      <w:proofErr w:type="spellEnd"/>
      <w:r w:rsidR="000440E7">
        <w:rPr>
          <w:lang w:val="en-US"/>
        </w:rPr>
        <w:t xml:space="preserve"> </w:t>
      </w:r>
      <w:proofErr w:type="spellStart"/>
      <w:r w:rsidR="000440E7">
        <w:rPr>
          <w:lang w:val="en-US"/>
        </w:rPr>
        <w:t>pada</w:t>
      </w:r>
      <w:proofErr w:type="spellEnd"/>
      <w:r w:rsidR="000440E7">
        <w:rPr>
          <w:lang w:val="en-US"/>
        </w:rPr>
        <w:t xml:space="preserve"> </w:t>
      </w:r>
      <w:proofErr w:type="spellStart"/>
      <w:r w:rsidR="000440E7">
        <w:rPr>
          <w:lang w:val="en-US"/>
        </w:rPr>
        <w:t>tahun</w:t>
      </w:r>
      <w:proofErr w:type="spellEnd"/>
      <w:r w:rsidR="000440E7">
        <w:rPr>
          <w:lang w:val="en-US"/>
        </w:rPr>
        <w:t xml:space="preserve"> 2014 </w:t>
      </w:r>
      <w:proofErr w:type="spellStart"/>
      <w:r w:rsidR="00623514">
        <w:rPr>
          <w:lang w:val="en-US"/>
        </w:rPr>
        <w:t>dengan</w:t>
      </w:r>
      <w:proofErr w:type="spellEnd"/>
      <w:r w:rsidR="00623514">
        <w:rPr>
          <w:lang w:val="en-US"/>
        </w:rPr>
        <w:t xml:space="preserve"> rata-rata </w:t>
      </w:r>
      <w:proofErr w:type="spellStart"/>
      <w:r w:rsidR="00623514">
        <w:rPr>
          <w:lang w:val="en-US"/>
        </w:rPr>
        <w:t>indeks</w:t>
      </w:r>
      <w:proofErr w:type="spellEnd"/>
      <w:r w:rsidR="00623514">
        <w:rPr>
          <w:lang w:val="en-US"/>
        </w:rPr>
        <w:t xml:space="preserve"> </w:t>
      </w:r>
      <w:r w:rsidR="002C3BF5">
        <w:rPr>
          <w:lang w:val="en-US"/>
        </w:rPr>
        <w:t xml:space="preserve">112,2 </w:t>
      </w:r>
      <w:r w:rsidR="00623514">
        <w:rPr>
          <w:lang w:val="en-US"/>
        </w:rPr>
        <w:t xml:space="preserve">% </w:t>
      </w:r>
      <w:proofErr w:type="spellStart"/>
      <w:r w:rsidR="00623514">
        <w:rPr>
          <w:lang w:val="en-US"/>
        </w:rPr>
        <w:t>pertahun</w:t>
      </w:r>
      <w:proofErr w:type="spellEnd"/>
      <w:r w:rsidR="00623514">
        <w:rPr>
          <w:lang w:val="en-US"/>
        </w:rPr>
        <w:t xml:space="preserve"> </w:t>
      </w:r>
      <w:r w:rsidR="00E24732" w:rsidRPr="00DD70E5">
        <w:rPr>
          <w:lang w:val="en-US"/>
        </w:rPr>
        <w:t xml:space="preserve">. Hal </w:t>
      </w:r>
      <w:proofErr w:type="spellStart"/>
      <w:r w:rsidR="00E24732" w:rsidRPr="00DD70E5">
        <w:rPr>
          <w:lang w:val="en-US"/>
        </w:rPr>
        <w:t>ini</w:t>
      </w:r>
      <w:proofErr w:type="spellEnd"/>
      <w:r w:rsidR="00E24732" w:rsidRPr="00DD70E5">
        <w:rPr>
          <w:lang w:val="en-US"/>
        </w:rPr>
        <w:t xml:space="preserve"> </w:t>
      </w:r>
      <w:proofErr w:type="spellStart"/>
      <w:r w:rsidR="00496A60">
        <w:rPr>
          <w:lang w:val="en-US"/>
        </w:rPr>
        <w:t>menunjukkan</w:t>
      </w:r>
      <w:proofErr w:type="spellEnd"/>
      <w:r w:rsidR="00496A60">
        <w:rPr>
          <w:lang w:val="en-US"/>
        </w:rPr>
        <w:t xml:space="preserve"> </w:t>
      </w:r>
      <w:proofErr w:type="spellStart"/>
      <w:r w:rsidR="00E24732" w:rsidRPr="00DD70E5">
        <w:rPr>
          <w:lang w:val="en-US"/>
        </w:rPr>
        <w:t>bahwa</w:t>
      </w:r>
      <w:proofErr w:type="spellEnd"/>
      <w:r w:rsidR="00E24732" w:rsidRPr="00DD70E5">
        <w:rPr>
          <w:lang w:val="en-US"/>
        </w:rPr>
        <w:t xml:space="preserve"> </w:t>
      </w:r>
      <w:proofErr w:type="spellStart"/>
      <w:r w:rsidR="00496A60">
        <w:rPr>
          <w:lang w:val="en-US"/>
        </w:rPr>
        <w:t>indeks</w:t>
      </w:r>
      <w:proofErr w:type="spellEnd"/>
      <w:r w:rsidR="00496A60">
        <w:rPr>
          <w:lang w:val="en-US"/>
        </w:rPr>
        <w:t xml:space="preserve"> </w:t>
      </w:r>
      <w:proofErr w:type="spellStart"/>
      <w:r w:rsidR="00496A60">
        <w:rPr>
          <w:lang w:val="en-US"/>
        </w:rPr>
        <w:t>belanja</w:t>
      </w:r>
      <w:proofErr w:type="spellEnd"/>
      <w:r w:rsidR="00496A60">
        <w:rPr>
          <w:lang w:val="en-US"/>
        </w:rPr>
        <w:t xml:space="preserve"> </w:t>
      </w:r>
      <w:proofErr w:type="spellStart"/>
      <w:r w:rsidR="00496A60">
        <w:rPr>
          <w:lang w:val="en-US"/>
        </w:rPr>
        <w:t>daerah</w:t>
      </w:r>
      <w:proofErr w:type="spellEnd"/>
      <w:r w:rsidR="00496A60">
        <w:rPr>
          <w:lang w:val="en-US"/>
        </w:rPr>
        <w:t xml:space="preserve"> </w:t>
      </w:r>
      <w:proofErr w:type="spellStart"/>
      <w:r w:rsidR="00496A60">
        <w:rPr>
          <w:lang w:val="en-US"/>
        </w:rPr>
        <w:t>pada</w:t>
      </w:r>
      <w:proofErr w:type="spellEnd"/>
      <w:r w:rsidR="00496A60">
        <w:rPr>
          <w:lang w:val="en-US"/>
        </w:rPr>
        <w:t xml:space="preserve"> </w:t>
      </w:r>
      <w:proofErr w:type="spellStart"/>
      <w:r w:rsidR="00496A60">
        <w:rPr>
          <w:lang w:val="en-US"/>
        </w:rPr>
        <w:t>kabupaten</w:t>
      </w:r>
      <w:proofErr w:type="spellEnd"/>
      <w:r w:rsidR="00496A60">
        <w:rPr>
          <w:lang w:val="en-US"/>
        </w:rPr>
        <w:t xml:space="preserve"> </w:t>
      </w:r>
      <w:proofErr w:type="spellStart"/>
      <w:r w:rsidR="00496A60">
        <w:rPr>
          <w:lang w:val="en-US"/>
        </w:rPr>
        <w:t>dan</w:t>
      </w:r>
      <w:proofErr w:type="spellEnd"/>
      <w:r w:rsidR="00496A60">
        <w:rPr>
          <w:lang w:val="en-US"/>
        </w:rPr>
        <w:t xml:space="preserve"> </w:t>
      </w:r>
      <w:proofErr w:type="spellStart"/>
      <w:r w:rsidR="00496A60">
        <w:rPr>
          <w:lang w:val="en-US"/>
        </w:rPr>
        <w:t>kota</w:t>
      </w:r>
      <w:proofErr w:type="spellEnd"/>
      <w:r w:rsidR="00496A60">
        <w:rPr>
          <w:lang w:val="en-US"/>
        </w:rPr>
        <w:t xml:space="preserve"> di Sumatera Barat </w:t>
      </w:r>
      <w:proofErr w:type="spellStart"/>
      <w:r w:rsidR="00496A60">
        <w:rPr>
          <w:lang w:val="en-US"/>
        </w:rPr>
        <w:t>mengalami</w:t>
      </w:r>
      <w:proofErr w:type="spellEnd"/>
      <w:r w:rsidR="00496A60">
        <w:rPr>
          <w:lang w:val="en-US"/>
        </w:rPr>
        <w:t xml:space="preserve"> </w:t>
      </w:r>
      <w:proofErr w:type="spellStart"/>
      <w:r w:rsidR="00496A60">
        <w:rPr>
          <w:lang w:val="en-US"/>
        </w:rPr>
        <w:t>naik</w:t>
      </w:r>
      <w:proofErr w:type="spellEnd"/>
      <w:r w:rsidR="00496A60">
        <w:rPr>
          <w:lang w:val="en-US"/>
        </w:rPr>
        <w:t xml:space="preserve"> </w:t>
      </w:r>
      <w:proofErr w:type="spellStart"/>
      <w:r w:rsidR="00496A60">
        <w:rPr>
          <w:lang w:val="en-US"/>
        </w:rPr>
        <w:t>turun</w:t>
      </w:r>
      <w:proofErr w:type="spellEnd"/>
      <w:r w:rsidR="00496A60">
        <w:rPr>
          <w:lang w:val="en-US"/>
        </w:rPr>
        <w:t xml:space="preserve">, </w:t>
      </w:r>
      <w:proofErr w:type="spellStart"/>
      <w:r w:rsidR="00496A60">
        <w:rPr>
          <w:lang w:val="en-US"/>
        </w:rPr>
        <w:t>dan</w:t>
      </w:r>
      <w:proofErr w:type="spellEnd"/>
      <w:r w:rsidR="00496A60">
        <w:rPr>
          <w:lang w:val="en-US"/>
        </w:rPr>
        <w:t xml:space="preserve"> </w:t>
      </w:r>
      <w:proofErr w:type="spellStart"/>
      <w:r w:rsidR="00D50551">
        <w:rPr>
          <w:lang w:val="en-US"/>
        </w:rPr>
        <w:t>belanja</w:t>
      </w:r>
      <w:proofErr w:type="spellEnd"/>
      <w:r w:rsidR="00D50551">
        <w:rPr>
          <w:lang w:val="en-US"/>
        </w:rPr>
        <w:t xml:space="preserve"> </w:t>
      </w:r>
      <w:proofErr w:type="spellStart"/>
      <w:r w:rsidR="00D50551">
        <w:rPr>
          <w:lang w:val="en-US"/>
        </w:rPr>
        <w:t>daerah</w:t>
      </w:r>
      <w:proofErr w:type="spellEnd"/>
      <w:r w:rsidR="00D50551">
        <w:rPr>
          <w:lang w:val="en-US"/>
        </w:rPr>
        <w:t xml:space="preserve"> yang </w:t>
      </w:r>
      <w:proofErr w:type="spellStart"/>
      <w:r w:rsidR="00D50551">
        <w:rPr>
          <w:lang w:val="en-US"/>
        </w:rPr>
        <w:t>terus</w:t>
      </w:r>
      <w:proofErr w:type="spellEnd"/>
      <w:r w:rsidR="00D50551">
        <w:rPr>
          <w:lang w:val="en-US"/>
        </w:rPr>
        <w:t xml:space="preserve"> </w:t>
      </w:r>
      <w:proofErr w:type="spellStart"/>
      <w:r w:rsidR="00D50551">
        <w:rPr>
          <w:lang w:val="en-US"/>
        </w:rPr>
        <w:t>meningkat</w:t>
      </w:r>
      <w:proofErr w:type="spellEnd"/>
      <w:r w:rsidR="00D50551">
        <w:rPr>
          <w:lang w:val="en-US"/>
        </w:rPr>
        <w:t xml:space="preserve"> </w:t>
      </w:r>
      <w:proofErr w:type="spellStart"/>
      <w:r w:rsidR="00D50551">
        <w:rPr>
          <w:lang w:val="en-US"/>
        </w:rPr>
        <w:t>setiap</w:t>
      </w:r>
      <w:proofErr w:type="spellEnd"/>
      <w:r w:rsidR="00D50551">
        <w:rPr>
          <w:lang w:val="en-US"/>
        </w:rPr>
        <w:t xml:space="preserve"> </w:t>
      </w:r>
      <w:proofErr w:type="spellStart"/>
      <w:r w:rsidR="00D50551">
        <w:rPr>
          <w:lang w:val="en-US"/>
        </w:rPr>
        <w:t>tahunnya</w:t>
      </w:r>
      <w:proofErr w:type="spellEnd"/>
      <w:r w:rsidR="00D50551">
        <w:rPr>
          <w:lang w:val="en-US"/>
        </w:rPr>
        <w:t xml:space="preserve"> </w:t>
      </w:r>
      <w:proofErr w:type="spellStart"/>
      <w:r w:rsidR="00D50551">
        <w:rPr>
          <w:lang w:val="en-US"/>
        </w:rPr>
        <w:t>menunjukkan</w:t>
      </w:r>
      <w:proofErr w:type="spellEnd"/>
      <w:r w:rsidR="00D50551">
        <w:rPr>
          <w:lang w:val="en-US"/>
        </w:rPr>
        <w:t xml:space="preserve"> </w:t>
      </w:r>
      <w:proofErr w:type="spellStart"/>
      <w:r w:rsidR="00E24732" w:rsidRPr="00DD70E5">
        <w:rPr>
          <w:lang w:val="en-US"/>
        </w:rPr>
        <w:t>pemerintah</w:t>
      </w:r>
      <w:proofErr w:type="spellEnd"/>
      <w:r w:rsidR="00E24732" w:rsidRPr="00DD70E5">
        <w:rPr>
          <w:lang w:val="en-US"/>
        </w:rPr>
        <w:t xml:space="preserve"> </w:t>
      </w:r>
      <w:proofErr w:type="spellStart"/>
      <w:r w:rsidR="00E24732" w:rsidRPr="00DD70E5">
        <w:rPr>
          <w:lang w:val="en-US"/>
        </w:rPr>
        <w:t>kabupaten</w:t>
      </w:r>
      <w:proofErr w:type="spellEnd"/>
      <w:r w:rsidR="00E24732" w:rsidRPr="00DD70E5">
        <w:rPr>
          <w:lang w:val="en-US"/>
        </w:rPr>
        <w:t xml:space="preserve"> </w:t>
      </w:r>
      <w:proofErr w:type="spellStart"/>
      <w:r w:rsidR="00E24732" w:rsidRPr="00DD70E5">
        <w:rPr>
          <w:lang w:val="en-US"/>
        </w:rPr>
        <w:t>dan</w:t>
      </w:r>
      <w:proofErr w:type="spellEnd"/>
      <w:r w:rsidR="00E24732" w:rsidRPr="00DD70E5">
        <w:rPr>
          <w:lang w:val="en-US"/>
        </w:rPr>
        <w:t xml:space="preserve"> </w:t>
      </w:r>
      <w:proofErr w:type="spellStart"/>
      <w:r w:rsidR="00E24732" w:rsidRPr="00DD70E5">
        <w:rPr>
          <w:lang w:val="en-US"/>
        </w:rPr>
        <w:t>kota</w:t>
      </w:r>
      <w:proofErr w:type="spellEnd"/>
      <w:r w:rsidR="00E24732" w:rsidRPr="00DD70E5">
        <w:rPr>
          <w:lang w:val="en-US"/>
        </w:rPr>
        <w:t xml:space="preserve"> di </w:t>
      </w:r>
      <w:proofErr w:type="spellStart"/>
      <w:r w:rsidR="00E24732" w:rsidRPr="00DD70E5">
        <w:rPr>
          <w:lang w:val="en-US"/>
        </w:rPr>
        <w:t>provinsi</w:t>
      </w:r>
      <w:proofErr w:type="spellEnd"/>
      <w:r w:rsidR="00E24732" w:rsidRPr="00DD70E5">
        <w:rPr>
          <w:lang w:val="en-US"/>
        </w:rPr>
        <w:t xml:space="preserve"> Sumatera Barat </w:t>
      </w:r>
      <w:proofErr w:type="spellStart"/>
      <w:r w:rsidR="00E24732" w:rsidRPr="00DD70E5">
        <w:rPr>
          <w:lang w:val="en-US"/>
        </w:rPr>
        <w:t>memiliki</w:t>
      </w:r>
      <w:proofErr w:type="spellEnd"/>
      <w:r w:rsidR="00E24732" w:rsidRPr="00DD70E5">
        <w:rPr>
          <w:lang w:val="en-US"/>
        </w:rPr>
        <w:t xml:space="preserve"> </w:t>
      </w:r>
      <w:proofErr w:type="spellStart"/>
      <w:r w:rsidR="00E24732" w:rsidRPr="00DD70E5">
        <w:rPr>
          <w:lang w:val="en-US"/>
        </w:rPr>
        <w:t>kegiatan</w:t>
      </w:r>
      <w:proofErr w:type="spellEnd"/>
      <w:r w:rsidR="00E24732" w:rsidRPr="00DD70E5">
        <w:rPr>
          <w:lang w:val="en-US"/>
        </w:rPr>
        <w:t xml:space="preserve"> </w:t>
      </w:r>
      <w:proofErr w:type="spellStart"/>
      <w:r w:rsidR="00E24732" w:rsidRPr="00DD70E5">
        <w:rPr>
          <w:lang w:val="en-US"/>
        </w:rPr>
        <w:t>pembangunan</w:t>
      </w:r>
      <w:proofErr w:type="spellEnd"/>
      <w:r w:rsidR="00E24732" w:rsidRPr="00DD70E5">
        <w:rPr>
          <w:lang w:val="en-US"/>
        </w:rPr>
        <w:t xml:space="preserve"> </w:t>
      </w:r>
      <w:proofErr w:type="spellStart"/>
      <w:r w:rsidR="00E24732" w:rsidRPr="00DD70E5">
        <w:rPr>
          <w:lang w:val="en-US"/>
        </w:rPr>
        <w:t>dan</w:t>
      </w:r>
      <w:proofErr w:type="spellEnd"/>
      <w:r w:rsidR="00E24732" w:rsidRPr="00DD70E5">
        <w:rPr>
          <w:lang w:val="en-US"/>
        </w:rPr>
        <w:t xml:space="preserve"> </w:t>
      </w:r>
      <w:proofErr w:type="spellStart"/>
      <w:r w:rsidR="00E24732" w:rsidRPr="00DD70E5">
        <w:rPr>
          <w:lang w:val="en-US"/>
        </w:rPr>
        <w:t>perekonomian</w:t>
      </w:r>
      <w:proofErr w:type="spellEnd"/>
      <w:r w:rsidR="00E24732" w:rsidRPr="00DD70E5">
        <w:rPr>
          <w:lang w:val="en-US"/>
        </w:rPr>
        <w:t xml:space="preserve"> di </w:t>
      </w:r>
      <w:proofErr w:type="spellStart"/>
      <w:r w:rsidR="00E24732" w:rsidRPr="00DD70E5">
        <w:rPr>
          <w:lang w:val="en-US"/>
        </w:rPr>
        <w:t>daerah</w:t>
      </w:r>
      <w:proofErr w:type="spellEnd"/>
      <w:r w:rsidR="00E24732" w:rsidRPr="00DD70E5">
        <w:rPr>
          <w:lang w:val="en-US"/>
        </w:rPr>
        <w:t xml:space="preserve"> yang </w:t>
      </w:r>
      <w:proofErr w:type="spellStart"/>
      <w:r w:rsidR="00E24732" w:rsidRPr="00DD70E5">
        <w:rPr>
          <w:lang w:val="en-US"/>
        </w:rPr>
        <w:t>selalu</w:t>
      </w:r>
      <w:proofErr w:type="spellEnd"/>
      <w:r w:rsidR="00E24732" w:rsidRPr="00DD70E5">
        <w:rPr>
          <w:lang w:val="en-US"/>
        </w:rPr>
        <w:t xml:space="preserve"> </w:t>
      </w:r>
      <w:proofErr w:type="spellStart"/>
      <w:r w:rsidR="00E24732" w:rsidRPr="00DD70E5">
        <w:rPr>
          <w:lang w:val="en-US"/>
        </w:rPr>
        <w:t>meningkat</w:t>
      </w:r>
      <w:proofErr w:type="spellEnd"/>
      <w:r w:rsidR="00E24732" w:rsidRPr="00DD70E5">
        <w:rPr>
          <w:lang w:val="en-US"/>
        </w:rPr>
        <w:t xml:space="preserve"> </w:t>
      </w:r>
      <w:proofErr w:type="spellStart"/>
      <w:r w:rsidR="00E24732" w:rsidRPr="00DD70E5">
        <w:rPr>
          <w:lang w:val="en-US"/>
        </w:rPr>
        <w:t>tiap</w:t>
      </w:r>
      <w:proofErr w:type="spellEnd"/>
      <w:r w:rsidR="00E24732" w:rsidRPr="00DD70E5">
        <w:rPr>
          <w:lang w:val="en-US"/>
        </w:rPr>
        <w:t xml:space="preserve"> </w:t>
      </w:r>
      <w:proofErr w:type="spellStart"/>
      <w:r w:rsidR="00E24732" w:rsidRPr="00DD70E5">
        <w:rPr>
          <w:lang w:val="en-US"/>
        </w:rPr>
        <w:t>tahunnya</w:t>
      </w:r>
      <w:proofErr w:type="spellEnd"/>
      <w:r w:rsidR="00E24732" w:rsidRPr="00DD70E5">
        <w:rPr>
          <w:lang w:val="en-US"/>
        </w:rPr>
        <w:t>.</w:t>
      </w:r>
    </w:p>
    <w:p w:rsidR="002B0984" w:rsidRDefault="00E24732" w:rsidP="00BE3421">
      <w:pPr>
        <w:spacing w:line="480" w:lineRule="auto"/>
        <w:ind w:left="432" w:firstLine="738"/>
        <w:jc w:val="both"/>
        <w:rPr>
          <w:lang w:val="en-US"/>
        </w:rPr>
      </w:pPr>
      <w:proofErr w:type="spellStart"/>
      <w:r w:rsidRPr="00DD70E5">
        <w:rPr>
          <w:lang w:val="en-US"/>
        </w:rPr>
        <w:lastRenderedPageBreak/>
        <w:t>Belanja</w:t>
      </w:r>
      <w:proofErr w:type="spellEnd"/>
      <w:r w:rsidRPr="00DD70E5">
        <w:rPr>
          <w:lang w:val="en-US"/>
        </w:rPr>
        <w:t xml:space="preserve"> </w:t>
      </w:r>
      <w:proofErr w:type="spellStart"/>
      <w:r w:rsidRPr="00DD70E5">
        <w:rPr>
          <w:lang w:val="en-US"/>
        </w:rPr>
        <w:t>daaerah</w:t>
      </w:r>
      <w:proofErr w:type="spellEnd"/>
      <w:r w:rsidRPr="00DD70E5">
        <w:rPr>
          <w:lang w:val="en-US"/>
        </w:rPr>
        <w:t xml:space="preserve"> di </w:t>
      </w:r>
      <w:proofErr w:type="spellStart"/>
      <w:r w:rsidRPr="00DD70E5">
        <w:rPr>
          <w:lang w:val="en-US"/>
        </w:rPr>
        <w:t>masing</w:t>
      </w:r>
      <w:proofErr w:type="spellEnd"/>
      <w:r w:rsidRPr="00DD70E5">
        <w:rPr>
          <w:lang w:val="en-US"/>
        </w:rPr>
        <w:t xml:space="preserve"> </w:t>
      </w:r>
      <w:proofErr w:type="spellStart"/>
      <w:r w:rsidRPr="00DD70E5">
        <w:rPr>
          <w:lang w:val="en-US"/>
        </w:rPr>
        <w:t>daerah</w:t>
      </w:r>
      <w:proofErr w:type="spellEnd"/>
      <w:r w:rsidRPr="00DD70E5">
        <w:rPr>
          <w:lang w:val="en-US"/>
        </w:rPr>
        <w:t xml:space="preserve"> </w:t>
      </w:r>
      <w:proofErr w:type="spellStart"/>
      <w:r w:rsidRPr="00DD70E5">
        <w:rPr>
          <w:lang w:val="en-US"/>
        </w:rPr>
        <w:t>sangat</w:t>
      </w:r>
      <w:proofErr w:type="spellEnd"/>
      <w:r w:rsidRPr="00DD70E5">
        <w:rPr>
          <w:lang w:val="en-US"/>
        </w:rPr>
        <w:t xml:space="preserve"> </w:t>
      </w:r>
      <w:proofErr w:type="spellStart"/>
      <w:r w:rsidRPr="00DD70E5">
        <w:rPr>
          <w:lang w:val="en-US"/>
        </w:rPr>
        <w:t>dipengaruhi</w:t>
      </w:r>
      <w:proofErr w:type="spellEnd"/>
      <w:r w:rsidRPr="00DD70E5">
        <w:rPr>
          <w:lang w:val="en-US"/>
        </w:rPr>
        <w:t xml:space="preserve"> </w:t>
      </w:r>
      <w:proofErr w:type="spellStart"/>
      <w:r w:rsidRPr="00DD70E5">
        <w:rPr>
          <w:lang w:val="en-US"/>
        </w:rPr>
        <w:t>oleh</w:t>
      </w:r>
      <w:proofErr w:type="spellEnd"/>
      <w:r w:rsidR="00763CF4">
        <w:rPr>
          <w:lang w:val="en-US"/>
        </w:rPr>
        <w:t xml:space="preserve"> </w:t>
      </w:r>
      <w:proofErr w:type="spellStart"/>
      <w:r w:rsidRPr="00DD70E5">
        <w:rPr>
          <w:lang w:val="en-US"/>
        </w:rPr>
        <w:t>kondisi</w:t>
      </w:r>
      <w:proofErr w:type="spellEnd"/>
      <w:r w:rsidR="00A91F7E" w:rsidRPr="00DD70E5">
        <w:rPr>
          <w:lang w:val="en-US"/>
        </w:rPr>
        <w:t xml:space="preserve"> </w:t>
      </w:r>
      <w:proofErr w:type="spellStart"/>
      <w:r w:rsidRPr="00DD70E5">
        <w:rPr>
          <w:lang w:val="en-US"/>
        </w:rPr>
        <w:t>keuangan</w:t>
      </w:r>
      <w:proofErr w:type="spellEnd"/>
      <w:r w:rsidRPr="00DD70E5">
        <w:rPr>
          <w:lang w:val="en-US"/>
        </w:rPr>
        <w:t xml:space="preserve"> </w:t>
      </w:r>
      <w:proofErr w:type="spellStart"/>
      <w:r w:rsidRPr="00DD70E5">
        <w:rPr>
          <w:lang w:val="en-US"/>
        </w:rPr>
        <w:t>daerah</w:t>
      </w:r>
      <w:proofErr w:type="spellEnd"/>
      <w:r w:rsidR="00EC5267">
        <w:rPr>
          <w:lang w:val="en-US"/>
        </w:rPr>
        <w:t xml:space="preserve"> </w:t>
      </w:r>
      <w:proofErr w:type="spellStart"/>
      <w:r w:rsidRPr="00DD70E5">
        <w:rPr>
          <w:lang w:val="en-US"/>
        </w:rPr>
        <w:t>dan</w:t>
      </w:r>
      <w:proofErr w:type="spellEnd"/>
      <w:r w:rsidRPr="00DD70E5">
        <w:rPr>
          <w:lang w:val="en-US"/>
        </w:rPr>
        <w:t xml:space="preserve"> </w:t>
      </w:r>
      <w:proofErr w:type="spellStart"/>
      <w:r w:rsidRPr="00DD70E5">
        <w:rPr>
          <w:lang w:val="en-US"/>
        </w:rPr>
        <w:t>kemampuan</w:t>
      </w:r>
      <w:proofErr w:type="spellEnd"/>
      <w:r w:rsidRPr="00DD70E5">
        <w:rPr>
          <w:lang w:val="en-US"/>
        </w:rPr>
        <w:t xml:space="preserve"> </w:t>
      </w:r>
      <w:proofErr w:type="spellStart"/>
      <w:r w:rsidRPr="00DD70E5">
        <w:rPr>
          <w:lang w:val="en-US"/>
        </w:rPr>
        <w:t>daer</w:t>
      </w:r>
      <w:r w:rsidR="00A91F7E" w:rsidRPr="00DD70E5">
        <w:rPr>
          <w:lang w:val="en-US"/>
        </w:rPr>
        <w:t>ah</w:t>
      </w:r>
      <w:proofErr w:type="spellEnd"/>
      <w:r w:rsidR="00EC5267">
        <w:rPr>
          <w:lang w:val="en-US"/>
        </w:rPr>
        <w:t xml:space="preserve"> </w:t>
      </w:r>
      <w:proofErr w:type="spellStart"/>
      <w:r w:rsidR="00A91F7E" w:rsidRPr="00DD70E5">
        <w:rPr>
          <w:lang w:val="en-US"/>
        </w:rPr>
        <w:t>dalam</w:t>
      </w:r>
      <w:proofErr w:type="spellEnd"/>
      <w:r w:rsidR="00A91F7E" w:rsidRPr="00DD70E5">
        <w:rPr>
          <w:lang w:val="en-US"/>
        </w:rPr>
        <w:t xml:space="preserve"> </w:t>
      </w:r>
      <w:proofErr w:type="spellStart"/>
      <w:r w:rsidR="00A91F7E" w:rsidRPr="00DD70E5">
        <w:rPr>
          <w:lang w:val="en-US"/>
        </w:rPr>
        <w:t>menggali</w:t>
      </w:r>
      <w:proofErr w:type="spellEnd"/>
      <w:r w:rsidR="00A91F7E" w:rsidRPr="00DD70E5">
        <w:rPr>
          <w:lang w:val="en-US"/>
        </w:rPr>
        <w:t xml:space="preserve"> </w:t>
      </w:r>
      <w:proofErr w:type="spellStart"/>
      <w:r w:rsidR="00A91F7E" w:rsidRPr="00DD70E5">
        <w:rPr>
          <w:lang w:val="en-US"/>
        </w:rPr>
        <w:t>sumber-sumber</w:t>
      </w:r>
      <w:proofErr w:type="spellEnd"/>
      <w:r w:rsidR="00A91F7E" w:rsidRPr="00DD70E5">
        <w:rPr>
          <w:lang w:val="en-US"/>
        </w:rPr>
        <w:t xml:space="preserve"> </w:t>
      </w:r>
      <w:proofErr w:type="spellStart"/>
      <w:r w:rsidRPr="00DD70E5">
        <w:rPr>
          <w:lang w:val="en-US"/>
        </w:rPr>
        <w:t>keuangan</w:t>
      </w:r>
      <w:proofErr w:type="spellEnd"/>
      <w:r w:rsidRPr="00DD70E5">
        <w:rPr>
          <w:lang w:val="en-US"/>
        </w:rPr>
        <w:t xml:space="preserve"> </w:t>
      </w:r>
      <w:proofErr w:type="spellStart"/>
      <w:r w:rsidRPr="00DD70E5">
        <w:rPr>
          <w:lang w:val="en-US"/>
        </w:rPr>
        <w:t>sendiri</w:t>
      </w:r>
      <w:proofErr w:type="spellEnd"/>
      <w:r w:rsidRPr="00DD70E5">
        <w:rPr>
          <w:lang w:val="en-US"/>
        </w:rPr>
        <w:t xml:space="preserve"> </w:t>
      </w:r>
      <w:proofErr w:type="spellStart"/>
      <w:r w:rsidRPr="00DD70E5">
        <w:rPr>
          <w:lang w:val="en-US"/>
        </w:rPr>
        <w:t>serta</w:t>
      </w:r>
      <w:proofErr w:type="spellEnd"/>
      <w:r w:rsidRPr="00DD70E5">
        <w:rPr>
          <w:lang w:val="en-US"/>
        </w:rPr>
        <w:t xml:space="preserve"> transfer </w:t>
      </w:r>
      <w:proofErr w:type="spellStart"/>
      <w:r w:rsidRPr="00DD70E5">
        <w:rPr>
          <w:lang w:val="en-US"/>
        </w:rPr>
        <w:t>dari</w:t>
      </w:r>
      <w:proofErr w:type="spellEnd"/>
      <w:r w:rsidRPr="00DD70E5">
        <w:rPr>
          <w:lang w:val="en-US"/>
        </w:rPr>
        <w:t xml:space="preserve"> </w:t>
      </w:r>
      <w:proofErr w:type="spellStart"/>
      <w:r w:rsidRPr="00DD70E5">
        <w:rPr>
          <w:lang w:val="en-US"/>
        </w:rPr>
        <w:t>pusat</w:t>
      </w:r>
      <w:proofErr w:type="spellEnd"/>
      <w:r w:rsidRPr="00DD70E5">
        <w:rPr>
          <w:lang w:val="en-US"/>
        </w:rPr>
        <w:t xml:space="preserve">.  </w:t>
      </w:r>
      <w:proofErr w:type="spellStart"/>
      <w:r w:rsidRPr="00DD70E5">
        <w:rPr>
          <w:lang w:val="en-US"/>
        </w:rPr>
        <w:t>Beriku</w:t>
      </w:r>
      <w:r w:rsidR="009C392B">
        <w:rPr>
          <w:lang w:val="en-US"/>
        </w:rPr>
        <w:t>t</w:t>
      </w:r>
      <w:proofErr w:type="spellEnd"/>
      <w:r w:rsidR="009C392B">
        <w:rPr>
          <w:lang w:val="en-US"/>
        </w:rPr>
        <w:t xml:space="preserve"> </w:t>
      </w:r>
      <w:proofErr w:type="spellStart"/>
      <w:proofErr w:type="gramStart"/>
      <w:r w:rsidR="009C392B">
        <w:rPr>
          <w:lang w:val="en-US"/>
        </w:rPr>
        <w:t>akan</w:t>
      </w:r>
      <w:proofErr w:type="spellEnd"/>
      <w:proofErr w:type="gramEnd"/>
      <w:r w:rsidR="009C392B">
        <w:rPr>
          <w:lang w:val="en-US"/>
        </w:rPr>
        <w:t xml:space="preserve"> </w:t>
      </w:r>
      <w:proofErr w:type="spellStart"/>
      <w:r w:rsidR="009C392B">
        <w:rPr>
          <w:lang w:val="en-US"/>
        </w:rPr>
        <w:t>disajikan</w:t>
      </w:r>
      <w:proofErr w:type="spellEnd"/>
      <w:r w:rsidR="009C392B">
        <w:rPr>
          <w:lang w:val="en-US"/>
        </w:rPr>
        <w:t xml:space="preserve"> </w:t>
      </w:r>
      <w:proofErr w:type="spellStart"/>
      <w:r w:rsidR="009C392B">
        <w:rPr>
          <w:lang w:val="en-US"/>
        </w:rPr>
        <w:t>mengenai</w:t>
      </w:r>
      <w:proofErr w:type="spellEnd"/>
      <w:r w:rsidR="009C392B">
        <w:rPr>
          <w:lang w:val="en-US"/>
        </w:rPr>
        <w:t xml:space="preserve"> PAD </w:t>
      </w:r>
      <w:proofErr w:type="spellStart"/>
      <w:r w:rsidR="009C392B">
        <w:rPr>
          <w:lang w:val="en-US"/>
        </w:rPr>
        <w:t>dan</w:t>
      </w:r>
      <w:proofErr w:type="spellEnd"/>
      <w:r w:rsidR="009C392B">
        <w:rPr>
          <w:lang w:val="en-US"/>
        </w:rPr>
        <w:t xml:space="preserve"> </w:t>
      </w:r>
      <w:proofErr w:type="spellStart"/>
      <w:r w:rsidRPr="00DD70E5">
        <w:rPr>
          <w:lang w:val="en-US"/>
        </w:rPr>
        <w:t>dana</w:t>
      </w:r>
      <w:proofErr w:type="spellEnd"/>
      <w:r w:rsidRPr="00DD70E5">
        <w:rPr>
          <w:lang w:val="en-US"/>
        </w:rPr>
        <w:t xml:space="preserve"> </w:t>
      </w:r>
      <w:proofErr w:type="spellStart"/>
      <w:r w:rsidRPr="00DD70E5">
        <w:rPr>
          <w:lang w:val="en-US"/>
        </w:rPr>
        <w:t>perimbangan</w:t>
      </w:r>
      <w:proofErr w:type="spellEnd"/>
      <w:r w:rsidR="009C392B">
        <w:rPr>
          <w:lang w:val="en-US"/>
        </w:rPr>
        <w:t xml:space="preserve"> </w:t>
      </w:r>
      <w:proofErr w:type="spellStart"/>
      <w:r w:rsidR="009C392B">
        <w:rPr>
          <w:lang w:val="en-US"/>
        </w:rPr>
        <w:t>pada</w:t>
      </w:r>
      <w:proofErr w:type="spellEnd"/>
      <w:r w:rsidRPr="00DD70E5">
        <w:rPr>
          <w:lang w:val="en-US"/>
        </w:rPr>
        <w:t xml:space="preserve"> </w:t>
      </w:r>
      <w:proofErr w:type="spellStart"/>
      <w:r w:rsidRPr="00DD70E5">
        <w:rPr>
          <w:lang w:val="en-US"/>
        </w:rPr>
        <w:t>kabupaten</w:t>
      </w:r>
      <w:proofErr w:type="spellEnd"/>
      <w:r w:rsidRPr="00DD70E5">
        <w:rPr>
          <w:lang w:val="en-US"/>
        </w:rPr>
        <w:t xml:space="preserve"> </w:t>
      </w:r>
      <w:proofErr w:type="spellStart"/>
      <w:r w:rsidRPr="00DD70E5">
        <w:rPr>
          <w:lang w:val="en-US"/>
        </w:rPr>
        <w:t>dan</w:t>
      </w:r>
      <w:proofErr w:type="spellEnd"/>
      <w:r w:rsidRPr="00DD70E5">
        <w:rPr>
          <w:lang w:val="en-US"/>
        </w:rPr>
        <w:t xml:space="preserve"> </w:t>
      </w:r>
      <w:proofErr w:type="spellStart"/>
      <w:r w:rsidRPr="00DD70E5">
        <w:rPr>
          <w:lang w:val="en-US"/>
        </w:rPr>
        <w:t>kota</w:t>
      </w:r>
      <w:proofErr w:type="spellEnd"/>
      <w:r w:rsidRPr="00DD70E5">
        <w:rPr>
          <w:lang w:val="en-US"/>
        </w:rPr>
        <w:t xml:space="preserve"> </w:t>
      </w:r>
      <w:r w:rsidR="00A91F7E" w:rsidRPr="00DD70E5">
        <w:rPr>
          <w:lang w:val="en-US"/>
        </w:rPr>
        <w:t xml:space="preserve">di Sumatera Barat </w:t>
      </w:r>
      <w:proofErr w:type="spellStart"/>
      <w:r w:rsidR="00A91F7E" w:rsidRPr="00DD70E5">
        <w:rPr>
          <w:lang w:val="en-US"/>
        </w:rPr>
        <w:t>tahun</w:t>
      </w:r>
      <w:proofErr w:type="spellEnd"/>
      <w:r w:rsidR="00A91F7E" w:rsidRPr="00DD70E5">
        <w:rPr>
          <w:lang w:val="en-US"/>
        </w:rPr>
        <w:t xml:space="preserve"> 2</w:t>
      </w:r>
      <w:r w:rsidR="00D50551">
        <w:rPr>
          <w:lang w:val="en-US"/>
        </w:rPr>
        <w:t xml:space="preserve">010 </w:t>
      </w:r>
      <w:proofErr w:type="spellStart"/>
      <w:r w:rsidR="00D50551">
        <w:rPr>
          <w:lang w:val="en-US"/>
        </w:rPr>
        <w:t>sampai</w:t>
      </w:r>
      <w:proofErr w:type="spellEnd"/>
      <w:r w:rsidR="00D50551">
        <w:rPr>
          <w:lang w:val="en-US"/>
        </w:rPr>
        <w:t xml:space="preserve"> </w:t>
      </w:r>
      <w:proofErr w:type="spellStart"/>
      <w:r w:rsidR="00D50551">
        <w:rPr>
          <w:lang w:val="en-US"/>
        </w:rPr>
        <w:t>dengan</w:t>
      </w:r>
      <w:proofErr w:type="spellEnd"/>
      <w:r w:rsidR="00D50551">
        <w:rPr>
          <w:lang w:val="en-US"/>
        </w:rPr>
        <w:t xml:space="preserve"> 2014</w:t>
      </w:r>
      <w:r w:rsidRPr="00DD70E5">
        <w:rPr>
          <w:lang w:val="en-US"/>
        </w:rPr>
        <w:t>.</w:t>
      </w:r>
    </w:p>
    <w:p w:rsidR="002B0984" w:rsidRDefault="002B0984" w:rsidP="00880262">
      <w:pPr>
        <w:spacing w:line="360" w:lineRule="auto"/>
        <w:ind w:left="2880" w:firstLine="720"/>
        <w:rPr>
          <w:b/>
          <w:lang w:val="en-US"/>
        </w:rPr>
      </w:pPr>
      <w:r>
        <w:rPr>
          <w:b/>
          <w:lang w:val="en-US"/>
        </w:rPr>
        <w:t xml:space="preserve">  </w:t>
      </w:r>
      <w:proofErr w:type="spellStart"/>
      <w:r w:rsidR="00361167">
        <w:rPr>
          <w:b/>
          <w:lang w:val="en-US"/>
        </w:rPr>
        <w:t>Tabel</w:t>
      </w:r>
      <w:proofErr w:type="spellEnd"/>
      <w:r w:rsidR="00361167">
        <w:rPr>
          <w:b/>
          <w:lang w:val="en-US"/>
        </w:rPr>
        <w:t xml:space="preserve"> </w:t>
      </w:r>
      <w:r w:rsidR="00AF47B7">
        <w:rPr>
          <w:b/>
          <w:lang w:val="en-US"/>
        </w:rPr>
        <w:t>1.</w:t>
      </w:r>
      <w:r w:rsidR="00A91F7E" w:rsidRPr="00D820C7">
        <w:rPr>
          <w:b/>
          <w:lang w:val="en-US"/>
        </w:rPr>
        <w:t>2</w:t>
      </w:r>
    </w:p>
    <w:p w:rsidR="00DE4C07" w:rsidRPr="00D820C7" w:rsidRDefault="00A91F7E" w:rsidP="00880262">
      <w:pPr>
        <w:spacing w:line="360" w:lineRule="auto"/>
        <w:ind w:left="450" w:firstLine="360"/>
        <w:jc w:val="center"/>
        <w:rPr>
          <w:b/>
          <w:lang w:val="en-US"/>
        </w:rPr>
      </w:pPr>
      <w:r w:rsidRPr="00D820C7">
        <w:rPr>
          <w:b/>
          <w:lang w:val="en-US"/>
        </w:rPr>
        <w:t xml:space="preserve">Total PAD </w:t>
      </w:r>
      <w:proofErr w:type="spellStart"/>
      <w:r w:rsidRPr="00D820C7">
        <w:rPr>
          <w:b/>
          <w:lang w:val="en-US"/>
        </w:rPr>
        <w:t>dan</w:t>
      </w:r>
      <w:proofErr w:type="spellEnd"/>
      <w:r w:rsidRPr="00D820C7">
        <w:rPr>
          <w:b/>
          <w:lang w:val="en-US"/>
        </w:rPr>
        <w:t xml:space="preserve"> Dana </w:t>
      </w:r>
      <w:proofErr w:type="spellStart"/>
      <w:r w:rsidRPr="00D820C7">
        <w:rPr>
          <w:b/>
          <w:lang w:val="en-US"/>
        </w:rPr>
        <w:t>Perimbangan</w:t>
      </w:r>
      <w:proofErr w:type="spellEnd"/>
      <w:r w:rsidRPr="00D820C7">
        <w:rPr>
          <w:b/>
          <w:lang w:val="en-US"/>
        </w:rPr>
        <w:t xml:space="preserve"> </w:t>
      </w:r>
      <w:proofErr w:type="spellStart"/>
      <w:r w:rsidRPr="00D820C7">
        <w:rPr>
          <w:b/>
          <w:lang w:val="en-US"/>
        </w:rPr>
        <w:t>Kabupaten</w:t>
      </w:r>
      <w:proofErr w:type="spellEnd"/>
      <w:r w:rsidRPr="00D820C7">
        <w:rPr>
          <w:b/>
          <w:lang w:val="en-US"/>
        </w:rPr>
        <w:t xml:space="preserve"> </w:t>
      </w:r>
      <w:proofErr w:type="spellStart"/>
      <w:r w:rsidRPr="00D820C7">
        <w:rPr>
          <w:b/>
          <w:lang w:val="en-US"/>
        </w:rPr>
        <w:t>dan</w:t>
      </w:r>
      <w:proofErr w:type="spellEnd"/>
      <w:r w:rsidRPr="00D820C7">
        <w:rPr>
          <w:b/>
          <w:lang w:val="en-US"/>
        </w:rPr>
        <w:t xml:space="preserve"> Kota Di Sumatera Barat</w:t>
      </w:r>
      <w:r w:rsidR="00DE4C07">
        <w:rPr>
          <w:b/>
          <w:lang w:val="id-ID"/>
        </w:rPr>
        <w:t xml:space="preserve"> </w:t>
      </w:r>
      <w:proofErr w:type="spellStart"/>
      <w:r w:rsidR="00DE4C07" w:rsidRPr="00D820C7">
        <w:rPr>
          <w:b/>
          <w:lang w:val="en-US"/>
        </w:rPr>
        <w:t>Periode</w:t>
      </w:r>
      <w:proofErr w:type="spellEnd"/>
      <w:r w:rsidR="00DE4C07" w:rsidRPr="00D820C7">
        <w:rPr>
          <w:b/>
          <w:lang w:val="en-US"/>
        </w:rPr>
        <w:t xml:space="preserve"> 20</w:t>
      </w:r>
      <w:r w:rsidR="00AE1B21">
        <w:rPr>
          <w:b/>
          <w:lang w:val="en-US"/>
        </w:rPr>
        <w:t>10-2014</w:t>
      </w:r>
    </w:p>
    <w:tbl>
      <w:tblPr>
        <w:tblStyle w:val="TableGrid"/>
        <w:tblW w:w="9198" w:type="dxa"/>
        <w:tblLayout w:type="fixed"/>
        <w:tblLook w:val="04A0" w:firstRow="1" w:lastRow="0" w:firstColumn="1" w:lastColumn="0" w:noHBand="0" w:noVBand="1"/>
      </w:tblPr>
      <w:tblGrid>
        <w:gridCol w:w="1231"/>
        <w:gridCol w:w="2160"/>
        <w:gridCol w:w="1037"/>
        <w:gridCol w:w="2340"/>
        <w:gridCol w:w="990"/>
        <w:gridCol w:w="1440"/>
      </w:tblGrid>
      <w:tr w:rsidR="004D69B3" w:rsidRPr="00D820C7" w:rsidTr="00BA0239">
        <w:trPr>
          <w:trHeight w:val="500"/>
        </w:trPr>
        <w:tc>
          <w:tcPr>
            <w:tcW w:w="1231" w:type="dxa"/>
          </w:tcPr>
          <w:p w:rsidR="004D69B3" w:rsidRPr="006F3819" w:rsidRDefault="004D69B3" w:rsidP="00880262">
            <w:pPr>
              <w:spacing w:line="360" w:lineRule="auto"/>
              <w:jc w:val="center"/>
              <w:rPr>
                <w:b/>
                <w:sz w:val="22"/>
                <w:szCs w:val="22"/>
                <w:lang w:val="en-US"/>
              </w:rPr>
            </w:pPr>
            <w:proofErr w:type="spellStart"/>
            <w:r w:rsidRPr="006F3819">
              <w:rPr>
                <w:b/>
                <w:sz w:val="22"/>
                <w:szCs w:val="22"/>
                <w:lang w:val="en-US"/>
              </w:rPr>
              <w:t>Tahun</w:t>
            </w:r>
            <w:proofErr w:type="spellEnd"/>
          </w:p>
        </w:tc>
        <w:tc>
          <w:tcPr>
            <w:tcW w:w="2160" w:type="dxa"/>
          </w:tcPr>
          <w:p w:rsidR="006F3819" w:rsidRPr="006F3819" w:rsidRDefault="004D69B3" w:rsidP="00880262">
            <w:pPr>
              <w:spacing w:line="360" w:lineRule="auto"/>
              <w:jc w:val="center"/>
              <w:rPr>
                <w:b/>
                <w:sz w:val="22"/>
                <w:szCs w:val="22"/>
                <w:lang w:val="en-US"/>
              </w:rPr>
            </w:pPr>
            <w:r w:rsidRPr="006F3819">
              <w:rPr>
                <w:b/>
                <w:sz w:val="22"/>
                <w:szCs w:val="22"/>
                <w:lang w:val="en-US"/>
              </w:rPr>
              <w:t>PAD</w:t>
            </w:r>
          </w:p>
          <w:p w:rsidR="004D69B3" w:rsidRPr="006F3819" w:rsidRDefault="004D69B3" w:rsidP="00880262">
            <w:pPr>
              <w:spacing w:line="360" w:lineRule="auto"/>
              <w:jc w:val="center"/>
              <w:rPr>
                <w:b/>
                <w:sz w:val="22"/>
                <w:szCs w:val="22"/>
                <w:lang w:val="en-US"/>
              </w:rPr>
            </w:pPr>
            <w:r w:rsidRPr="006F3819">
              <w:rPr>
                <w:b/>
                <w:sz w:val="22"/>
                <w:szCs w:val="22"/>
                <w:lang w:val="en-US"/>
              </w:rPr>
              <w:t xml:space="preserve"> (X1)                                 </w:t>
            </w:r>
          </w:p>
        </w:tc>
        <w:tc>
          <w:tcPr>
            <w:tcW w:w="1037" w:type="dxa"/>
          </w:tcPr>
          <w:p w:rsidR="004D69B3" w:rsidRPr="006F3819" w:rsidRDefault="004D69B3" w:rsidP="00880262">
            <w:pPr>
              <w:spacing w:line="360" w:lineRule="auto"/>
              <w:jc w:val="center"/>
              <w:rPr>
                <w:b/>
                <w:sz w:val="22"/>
                <w:szCs w:val="22"/>
                <w:lang w:val="en-US"/>
              </w:rPr>
            </w:pPr>
            <w:proofErr w:type="spellStart"/>
            <w:r w:rsidRPr="006F3819">
              <w:rPr>
                <w:b/>
                <w:sz w:val="22"/>
                <w:szCs w:val="22"/>
                <w:lang w:val="en-US"/>
              </w:rPr>
              <w:t>Indeks</w:t>
            </w:r>
            <w:proofErr w:type="spellEnd"/>
            <w:r w:rsidRPr="006F3819">
              <w:rPr>
                <w:b/>
                <w:sz w:val="22"/>
                <w:szCs w:val="22"/>
                <w:lang w:val="en-US"/>
              </w:rPr>
              <w:t xml:space="preserve"> (x1)</w:t>
            </w:r>
          </w:p>
        </w:tc>
        <w:tc>
          <w:tcPr>
            <w:tcW w:w="2340" w:type="dxa"/>
          </w:tcPr>
          <w:p w:rsidR="004D69B3" w:rsidRPr="006F3819" w:rsidRDefault="004D69B3" w:rsidP="00880262">
            <w:pPr>
              <w:spacing w:line="360" w:lineRule="auto"/>
              <w:jc w:val="center"/>
              <w:rPr>
                <w:b/>
                <w:sz w:val="22"/>
                <w:szCs w:val="22"/>
                <w:lang w:val="en-US"/>
              </w:rPr>
            </w:pPr>
            <w:r w:rsidRPr="006F3819">
              <w:rPr>
                <w:b/>
                <w:sz w:val="22"/>
                <w:szCs w:val="22"/>
                <w:lang w:val="en-US"/>
              </w:rPr>
              <w:t xml:space="preserve">Dana </w:t>
            </w:r>
            <w:proofErr w:type="spellStart"/>
            <w:r w:rsidRPr="006F3819">
              <w:rPr>
                <w:b/>
                <w:sz w:val="22"/>
                <w:szCs w:val="22"/>
                <w:lang w:val="en-US"/>
              </w:rPr>
              <w:t>Primbanagan</w:t>
            </w:r>
            <w:proofErr w:type="spellEnd"/>
            <w:r w:rsidRPr="006F3819">
              <w:rPr>
                <w:b/>
                <w:sz w:val="22"/>
                <w:szCs w:val="22"/>
                <w:lang w:val="en-US"/>
              </w:rPr>
              <w:t xml:space="preserve"> (X2)</w:t>
            </w:r>
          </w:p>
        </w:tc>
        <w:tc>
          <w:tcPr>
            <w:tcW w:w="990" w:type="dxa"/>
          </w:tcPr>
          <w:p w:rsidR="004D69B3" w:rsidRPr="006F3819" w:rsidRDefault="004D69B3" w:rsidP="00880262">
            <w:pPr>
              <w:spacing w:line="360" w:lineRule="auto"/>
              <w:jc w:val="center"/>
              <w:rPr>
                <w:b/>
                <w:sz w:val="22"/>
                <w:szCs w:val="22"/>
                <w:lang w:val="en-US"/>
              </w:rPr>
            </w:pPr>
            <w:proofErr w:type="spellStart"/>
            <w:r w:rsidRPr="006F3819">
              <w:rPr>
                <w:b/>
                <w:sz w:val="22"/>
                <w:szCs w:val="22"/>
                <w:lang w:val="en-US"/>
              </w:rPr>
              <w:t>Indeks</w:t>
            </w:r>
            <w:proofErr w:type="spellEnd"/>
            <w:r w:rsidRPr="006F3819">
              <w:rPr>
                <w:b/>
                <w:sz w:val="22"/>
                <w:szCs w:val="22"/>
                <w:lang w:val="en-US"/>
              </w:rPr>
              <w:t xml:space="preserve"> (x2)</w:t>
            </w:r>
          </w:p>
        </w:tc>
        <w:tc>
          <w:tcPr>
            <w:tcW w:w="1440" w:type="dxa"/>
          </w:tcPr>
          <w:p w:rsidR="004D69B3" w:rsidRPr="006F3819" w:rsidRDefault="004D69B3" w:rsidP="00880262">
            <w:pPr>
              <w:spacing w:line="360" w:lineRule="auto"/>
              <w:jc w:val="center"/>
              <w:rPr>
                <w:b/>
                <w:sz w:val="22"/>
                <w:szCs w:val="22"/>
                <w:lang w:val="en-US"/>
              </w:rPr>
            </w:pPr>
            <w:proofErr w:type="spellStart"/>
            <w:r w:rsidRPr="006F3819">
              <w:rPr>
                <w:b/>
                <w:sz w:val="22"/>
                <w:szCs w:val="22"/>
                <w:lang w:val="en-US"/>
              </w:rPr>
              <w:t>Indeks</w:t>
            </w:r>
            <w:proofErr w:type="spellEnd"/>
            <w:r w:rsidRPr="006F3819">
              <w:rPr>
                <w:b/>
                <w:sz w:val="22"/>
                <w:szCs w:val="22"/>
                <w:lang w:val="en-US"/>
              </w:rPr>
              <w:t xml:space="preserve"> Rata-Rata x1+x2</w:t>
            </w:r>
          </w:p>
        </w:tc>
      </w:tr>
      <w:tr w:rsidR="00DC37FD" w:rsidRPr="00D820C7" w:rsidTr="001526D9">
        <w:trPr>
          <w:trHeight w:val="72"/>
        </w:trPr>
        <w:tc>
          <w:tcPr>
            <w:tcW w:w="1231" w:type="dxa"/>
          </w:tcPr>
          <w:p w:rsidR="00DC37FD" w:rsidRPr="00DC37FD" w:rsidRDefault="00DC37FD" w:rsidP="00880262">
            <w:pPr>
              <w:spacing w:line="360" w:lineRule="auto"/>
              <w:jc w:val="center"/>
              <w:rPr>
                <w:sz w:val="22"/>
                <w:szCs w:val="22"/>
                <w:lang w:val="en-US"/>
              </w:rPr>
            </w:pPr>
            <w:r w:rsidRPr="00DC37FD">
              <w:rPr>
                <w:sz w:val="22"/>
                <w:szCs w:val="22"/>
                <w:lang w:val="en-US"/>
              </w:rPr>
              <w:t>2010</w:t>
            </w:r>
          </w:p>
        </w:tc>
        <w:tc>
          <w:tcPr>
            <w:tcW w:w="2160" w:type="dxa"/>
            <w:vAlign w:val="center"/>
          </w:tcPr>
          <w:p w:rsidR="00DC37FD" w:rsidRPr="00DC37FD" w:rsidRDefault="00DC37FD" w:rsidP="00880262">
            <w:pPr>
              <w:spacing w:line="360" w:lineRule="auto"/>
              <w:jc w:val="center"/>
              <w:rPr>
                <w:sz w:val="22"/>
                <w:szCs w:val="22"/>
                <w:lang w:val="en-US" w:eastAsia="en-US"/>
              </w:rPr>
            </w:pPr>
            <w:r w:rsidRPr="00DC37FD">
              <w:rPr>
                <w:bCs/>
                <w:sz w:val="22"/>
                <w:szCs w:val="22"/>
              </w:rPr>
              <w:t>582,636,559,824.00</w:t>
            </w:r>
          </w:p>
        </w:tc>
        <w:tc>
          <w:tcPr>
            <w:tcW w:w="1037" w:type="dxa"/>
          </w:tcPr>
          <w:p w:rsidR="00DC37FD" w:rsidRPr="00DC37FD" w:rsidRDefault="00DC37FD" w:rsidP="00880262">
            <w:pPr>
              <w:spacing w:line="360" w:lineRule="auto"/>
              <w:jc w:val="center"/>
              <w:rPr>
                <w:sz w:val="22"/>
                <w:szCs w:val="22"/>
                <w:lang w:val="en-US"/>
              </w:rPr>
            </w:pPr>
            <w:r w:rsidRPr="00DC37FD">
              <w:rPr>
                <w:sz w:val="22"/>
                <w:szCs w:val="22"/>
                <w:lang w:val="en-US"/>
              </w:rPr>
              <w:t>100 %</w:t>
            </w:r>
          </w:p>
        </w:tc>
        <w:tc>
          <w:tcPr>
            <w:tcW w:w="2340" w:type="dxa"/>
            <w:vAlign w:val="center"/>
          </w:tcPr>
          <w:p w:rsidR="00DC37FD" w:rsidRPr="00DC37FD" w:rsidRDefault="00DC37FD" w:rsidP="00880262">
            <w:pPr>
              <w:spacing w:line="360" w:lineRule="auto"/>
              <w:jc w:val="center"/>
              <w:rPr>
                <w:bCs/>
                <w:sz w:val="22"/>
                <w:szCs w:val="22"/>
              </w:rPr>
            </w:pPr>
            <w:r w:rsidRPr="00DC37FD">
              <w:rPr>
                <w:bCs/>
                <w:sz w:val="22"/>
                <w:szCs w:val="22"/>
              </w:rPr>
              <w:t xml:space="preserve">7,326,366,165,775.00 </w:t>
            </w:r>
          </w:p>
        </w:tc>
        <w:tc>
          <w:tcPr>
            <w:tcW w:w="990" w:type="dxa"/>
          </w:tcPr>
          <w:p w:rsidR="00DC37FD" w:rsidRPr="00DC37FD" w:rsidRDefault="00DC37FD" w:rsidP="00880262">
            <w:pPr>
              <w:spacing w:line="360" w:lineRule="auto"/>
              <w:jc w:val="center"/>
              <w:rPr>
                <w:sz w:val="22"/>
                <w:szCs w:val="22"/>
                <w:lang w:val="en-US"/>
              </w:rPr>
            </w:pPr>
            <w:r w:rsidRPr="00DC37FD">
              <w:rPr>
                <w:sz w:val="22"/>
                <w:szCs w:val="22"/>
                <w:lang w:val="en-US"/>
              </w:rPr>
              <w:t>100 %</w:t>
            </w:r>
          </w:p>
        </w:tc>
        <w:tc>
          <w:tcPr>
            <w:tcW w:w="1440" w:type="dxa"/>
          </w:tcPr>
          <w:p w:rsidR="00DC37FD" w:rsidRPr="00DC37FD" w:rsidRDefault="00DC37FD" w:rsidP="00880262">
            <w:pPr>
              <w:spacing w:line="360" w:lineRule="auto"/>
              <w:jc w:val="center"/>
              <w:rPr>
                <w:sz w:val="22"/>
                <w:szCs w:val="22"/>
                <w:lang w:val="en-US"/>
              </w:rPr>
            </w:pPr>
            <w:r w:rsidRPr="00DC37FD">
              <w:rPr>
                <w:sz w:val="22"/>
                <w:szCs w:val="22"/>
                <w:lang w:val="en-US"/>
              </w:rPr>
              <w:t>100 %</w:t>
            </w:r>
          </w:p>
        </w:tc>
      </w:tr>
      <w:tr w:rsidR="00DC37FD" w:rsidRPr="00D820C7" w:rsidTr="001526D9">
        <w:trPr>
          <w:trHeight w:val="179"/>
        </w:trPr>
        <w:tc>
          <w:tcPr>
            <w:tcW w:w="1231" w:type="dxa"/>
          </w:tcPr>
          <w:p w:rsidR="00DC37FD" w:rsidRPr="00DC37FD" w:rsidRDefault="00DC37FD" w:rsidP="00880262">
            <w:pPr>
              <w:spacing w:line="360" w:lineRule="auto"/>
              <w:jc w:val="center"/>
              <w:rPr>
                <w:sz w:val="22"/>
                <w:szCs w:val="22"/>
                <w:lang w:val="en-US"/>
              </w:rPr>
            </w:pPr>
            <w:r w:rsidRPr="00DC37FD">
              <w:rPr>
                <w:sz w:val="22"/>
                <w:szCs w:val="22"/>
                <w:lang w:val="en-US"/>
              </w:rPr>
              <w:t>2011</w:t>
            </w:r>
          </w:p>
        </w:tc>
        <w:tc>
          <w:tcPr>
            <w:tcW w:w="2160" w:type="dxa"/>
            <w:vAlign w:val="center"/>
          </w:tcPr>
          <w:p w:rsidR="00DC37FD" w:rsidRPr="00DC37FD" w:rsidRDefault="00DC37FD" w:rsidP="00880262">
            <w:pPr>
              <w:spacing w:line="360" w:lineRule="auto"/>
              <w:jc w:val="center"/>
              <w:rPr>
                <w:sz w:val="22"/>
                <w:szCs w:val="22"/>
                <w:lang w:val="en-US" w:eastAsia="en-US"/>
              </w:rPr>
            </w:pPr>
            <w:r w:rsidRPr="00DC37FD">
              <w:rPr>
                <w:bCs/>
                <w:sz w:val="22"/>
                <w:szCs w:val="22"/>
              </w:rPr>
              <w:t>675,090,013,256.40</w:t>
            </w:r>
            <w:r w:rsidRPr="00DC37FD">
              <w:rPr>
                <w:color w:val="000000"/>
                <w:sz w:val="22"/>
                <w:szCs w:val="22"/>
              </w:rPr>
              <w:t> </w:t>
            </w:r>
          </w:p>
        </w:tc>
        <w:tc>
          <w:tcPr>
            <w:tcW w:w="1037" w:type="dxa"/>
          </w:tcPr>
          <w:p w:rsidR="00DC37FD" w:rsidRPr="00DC37FD" w:rsidRDefault="00DC37FD" w:rsidP="00880262">
            <w:pPr>
              <w:spacing w:line="360" w:lineRule="auto"/>
              <w:jc w:val="center"/>
              <w:rPr>
                <w:sz w:val="22"/>
                <w:szCs w:val="22"/>
                <w:lang w:val="en-US"/>
              </w:rPr>
            </w:pPr>
            <w:r w:rsidRPr="00DC37FD">
              <w:rPr>
                <w:sz w:val="22"/>
                <w:szCs w:val="22"/>
                <w:lang w:val="en-US"/>
              </w:rPr>
              <w:t>116 %</w:t>
            </w:r>
          </w:p>
        </w:tc>
        <w:tc>
          <w:tcPr>
            <w:tcW w:w="2340" w:type="dxa"/>
            <w:vAlign w:val="center"/>
          </w:tcPr>
          <w:p w:rsidR="00DC37FD" w:rsidRPr="00DC37FD" w:rsidRDefault="00DC37FD" w:rsidP="00880262">
            <w:pPr>
              <w:spacing w:line="360" w:lineRule="auto"/>
              <w:jc w:val="center"/>
              <w:rPr>
                <w:bCs/>
                <w:sz w:val="22"/>
                <w:szCs w:val="22"/>
              </w:rPr>
            </w:pPr>
            <w:r w:rsidRPr="00DC37FD">
              <w:rPr>
                <w:bCs/>
                <w:sz w:val="22"/>
                <w:szCs w:val="22"/>
              </w:rPr>
              <w:t xml:space="preserve">8,220,681,976,371.00 </w:t>
            </w:r>
            <w:r w:rsidRPr="00DC37FD">
              <w:rPr>
                <w:color w:val="000000"/>
                <w:sz w:val="22"/>
                <w:szCs w:val="22"/>
              </w:rPr>
              <w:t> </w:t>
            </w:r>
          </w:p>
        </w:tc>
        <w:tc>
          <w:tcPr>
            <w:tcW w:w="990" w:type="dxa"/>
          </w:tcPr>
          <w:p w:rsidR="00DC37FD" w:rsidRPr="00DC37FD" w:rsidRDefault="00DC37FD" w:rsidP="00880262">
            <w:pPr>
              <w:spacing w:line="360" w:lineRule="auto"/>
              <w:jc w:val="center"/>
              <w:rPr>
                <w:sz w:val="22"/>
                <w:szCs w:val="22"/>
                <w:lang w:val="en-US"/>
              </w:rPr>
            </w:pPr>
            <w:r w:rsidRPr="00DC37FD">
              <w:rPr>
                <w:sz w:val="22"/>
                <w:szCs w:val="22"/>
                <w:lang w:val="en-US"/>
              </w:rPr>
              <w:t>112 %</w:t>
            </w:r>
          </w:p>
        </w:tc>
        <w:tc>
          <w:tcPr>
            <w:tcW w:w="1440" w:type="dxa"/>
          </w:tcPr>
          <w:p w:rsidR="00DC37FD" w:rsidRPr="00DC37FD" w:rsidRDefault="00DC37FD" w:rsidP="00880262">
            <w:pPr>
              <w:spacing w:line="360" w:lineRule="auto"/>
              <w:jc w:val="center"/>
              <w:rPr>
                <w:sz w:val="22"/>
                <w:szCs w:val="22"/>
                <w:lang w:val="en-US"/>
              </w:rPr>
            </w:pPr>
            <w:r w:rsidRPr="00DC37FD">
              <w:rPr>
                <w:sz w:val="22"/>
                <w:szCs w:val="22"/>
                <w:lang w:val="en-US"/>
              </w:rPr>
              <w:t>114 %</w:t>
            </w:r>
          </w:p>
        </w:tc>
      </w:tr>
      <w:tr w:rsidR="00DC37FD" w:rsidRPr="00D820C7" w:rsidTr="001526D9">
        <w:trPr>
          <w:trHeight w:val="152"/>
        </w:trPr>
        <w:tc>
          <w:tcPr>
            <w:tcW w:w="1231" w:type="dxa"/>
          </w:tcPr>
          <w:p w:rsidR="00DC37FD" w:rsidRPr="00DC37FD" w:rsidRDefault="00DC37FD" w:rsidP="00880262">
            <w:pPr>
              <w:spacing w:line="360" w:lineRule="auto"/>
              <w:jc w:val="center"/>
              <w:rPr>
                <w:sz w:val="22"/>
                <w:szCs w:val="22"/>
                <w:lang w:val="en-US"/>
              </w:rPr>
            </w:pPr>
            <w:r w:rsidRPr="00DC37FD">
              <w:rPr>
                <w:sz w:val="22"/>
                <w:szCs w:val="22"/>
                <w:lang w:val="en-US"/>
              </w:rPr>
              <w:t>2012</w:t>
            </w:r>
          </w:p>
        </w:tc>
        <w:tc>
          <w:tcPr>
            <w:tcW w:w="2160" w:type="dxa"/>
            <w:vAlign w:val="center"/>
          </w:tcPr>
          <w:p w:rsidR="00DC37FD" w:rsidRPr="00DC37FD" w:rsidRDefault="00DC37FD" w:rsidP="00880262">
            <w:pPr>
              <w:spacing w:line="360" w:lineRule="auto"/>
              <w:jc w:val="center"/>
              <w:rPr>
                <w:sz w:val="22"/>
                <w:szCs w:val="22"/>
                <w:lang w:val="en-US" w:eastAsia="en-US"/>
              </w:rPr>
            </w:pPr>
            <w:r w:rsidRPr="00DC37FD">
              <w:rPr>
                <w:bCs/>
                <w:sz w:val="22"/>
                <w:szCs w:val="22"/>
              </w:rPr>
              <w:t>807,188,322,402.76</w:t>
            </w:r>
          </w:p>
        </w:tc>
        <w:tc>
          <w:tcPr>
            <w:tcW w:w="1037" w:type="dxa"/>
          </w:tcPr>
          <w:p w:rsidR="00DC37FD" w:rsidRPr="00DC37FD" w:rsidRDefault="00DC37FD" w:rsidP="00880262">
            <w:pPr>
              <w:spacing w:line="360" w:lineRule="auto"/>
              <w:jc w:val="center"/>
              <w:rPr>
                <w:sz w:val="22"/>
                <w:szCs w:val="22"/>
                <w:lang w:val="en-US"/>
              </w:rPr>
            </w:pPr>
            <w:r w:rsidRPr="00DC37FD">
              <w:rPr>
                <w:sz w:val="22"/>
                <w:szCs w:val="22"/>
                <w:lang w:val="en-US"/>
              </w:rPr>
              <w:t>120 %</w:t>
            </w:r>
          </w:p>
        </w:tc>
        <w:tc>
          <w:tcPr>
            <w:tcW w:w="2340" w:type="dxa"/>
            <w:vAlign w:val="center"/>
          </w:tcPr>
          <w:p w:rsidR="00DC37FD" w:rsidRPr="00DC37FD" w:rsidRDefault="00DC37FD" w:rsidP="00880262">
            <w:pPr>
              <w:spacing w:line="360" w:lineRule="auto"/>
              <w:jc w:val="center"/>
              <w:rPr>
                <w:bCs/>
                <w:sz w:val="22"/>
                <w:szCs w:val="22"/>
              </w:rPr>
            </w:pPr>
            <w:r w:rsidRPr="00DC37FD">
              <w:rPr>
                <w:bCs/>
                <w:sz w:val="22"/>
                <w:szCs w:val="22"/>
              </w:rPr>
              <w:t xml:space="preserve">9,553,716,447,179.50 </w:t>
            </w:r>
          </w:p>
        </w:tc>
        <w:tc>
          <w:tcPr>
            <w:tcW w:w="990" w:type="dxa"/>
          </w:tcPr>
          <w:p w:rsidR="00DC37FD" w:rsidRPr="00DC37FD" w:rsidRDefault="00DC37FD" w:rsidP="00880262">
            <w:pPr>
              <w:spacing w:line="360" w:lineRule="auto"/>
              <w:jc w:val="center"/>
              <w:rPr>
                <w:sz w:val="22"/>
                <w:szCs w:val="22"/>
                <w:lang w:val="en-US"/>
              </w:rPr>
            </w:pPr>
            <w:r w:rsidRPr="00DC37FD">
              <w:rPr>
                <w:sz w:val="22"/>
                <w:szCs w:val="22"/>
                <w:lang w:val="en-US"/>
              </w:rPr>
              <w:t>116 %</w:t>
            </w:r>
          </w:p>
        </w:tc>
        <w:tc>
          <w:tcPr>
            <w:tcW w:w="1440" w:type="dxa"/>
          </w:tcPr>
          <w:p w:rsidR="00DC37FD" w:rsidRPr="00DC37FD" w:rsidRDefault="00DC37FD" w:rsidP="00880262">
            <w:pPr>
              <w:spacing w:line="360" w:lineRule="auto"/>
              <w:jc w:val="center"/>
              <w:rPr>
                <w:sz w:val="22"/>
                <w:szCs w:val="22"/>
                <w:lang w:val="en-US"/>
              </w:rPr>
            </w:pPr>
            <w:r w:rsidRPr="00DC37FD">
              <w:rPr>
                <w:sz w:val="22"/>
                <w:szCs w:val="22"/>
                <w:lang w:val="en-US"/>
              </w:rPr>
              <w:t>118 %</w:t>
            </w:r>
          </w:p>
        </w:tc>
      </w:tr>
      <w:tr w:rsidR="00DC37FD" w:rsidRPr="00D820C7" w:rsidTr="001526D9">
        <w:trPr>
          <w:trHeight w:val="125"/>
        </w:trPr>
        <w:tc>
          <w:tcPr>
            <w:tcW w:w="1231" w:type="dxa"/>
          </w:tcPr>
          <w:p w:rsidR="00DC37FD" w:rsidRPr="00DC37FD" w:rsidRDefault="00DC37FD" w:rsidP="00880262">
            <w:pPr>
              <w:spacing w:line="360" w:lineRule="auto"/>
              <w:jc w:val="center"/>
              <w:rPr>
                <w:sz w:val="22"/>
                <w:szCs w:val="22"/>
                <w:lang w:val="en-US"/>
              </w:rPr>
            </w:pPr>
            <w:r w:rsidRPr="00DC37FD">
              <w:rPr>
                <w:sz w:val="22"/>
                <w:szCs w:val="22"/>
                <w:lang w:val="en-US"/>
              </w:rPr>
              <w:t>2013</w:t>
            </w:r>
          </w:p>
        </w:tc>
        <w:tc>
          <w:tcPr>
            <w:tcW w:w="2160" w:type="dxa"/>
            <w:vAlign w:val="center"/>
          </w:tcPr>
          <w:p w:rsidR="00DC37FD" w:rsidRPr="00DC37FD" w:rsidRDefault="00DC37FD" w:rsidP="00880262">
            <w:pPr>
              <w:spacing w:line="360" w:lineRule="auto"/>
              <w:jc w:val="center"/>
              <w:rPr>
                <w:sz w:val="22"/>
                <w:szCs w:val="22"/>
                <w:lang w:val="en-US" w:eastAsia="en-US"/>
              </w:rPr>
            </w:pPr>
            <w:r w:rsidRPr="00DC37FD">
              <w:rPr>
                <w:bCs/>
                <w:sz w:val="22"/>
                <w:szCs w:val="22"/>
              </w:rPr>
              <w:t>917,192,376,513.71</w:t>
            </w:r>
          </w:p>
        </w:tc>
        <w:tc>
          <w:tcPr>
            <w:tcW w:w="1037" w:type="dxa"/>
          </w:tcPr>
          <w:p w:rsidR="00DC37FD" w:rsidRPr="00DC37FD" w:rsidRDefault="00DC37FD" w:rsidP="00880262">
            <w:pPr>
              <w:spacing w:line="360" w:lineRule="auto"/>
              <w:jc w:val="center"/>
              <w:rPr>
                <w:sz w:val="22"/>
                <w:szCs w:val="22"/>
                <w:lang w:val="en-US"/>
              </w:rPr>
            </w:pPr>
            <w:r w:rsidRPr="00DC37FD">
              <w:rPr>
                <w:sz w:val="22"/>
                <w:szCs w:val="22"/>
                <w:lang w:val="en-US"/>
              </w:rPr>
              <w:t>114 %</w:t>
            </w:r>
          </w:p>
        </w:tc>
        <w:tc>
          <w:tcPr>
            <w:tcW w:w="2340" w:type="dxa"/>
            <w:vAlign w:val="center"/>
          </w:tcPr>
          <w:p w:rsidR="00DC37FD" w:rsidRPr="00DC37FD" w:rsidRDefault="00DC37FD" w:rsidP="00880262">
            <w:pPr>
              <w:spacing w:line="360" w:lineRule="auto"/>
              <w:jc w:val="center"/>
              <w:rPr>
                <w:bCs/>
                <w:sz w:val="22"/>
                <w:szCs w:val="22"/>
              </w:rPr>
            </w:pPr>
            <w:r w:rsidRPr="00DC37FD">
              <w:rPr>
                <w:bCs/>
                <w:sz w:val="22"/>
                <w:szCs w:val="22"/>
              </w:rPr>
              <w:t xml:space="preserve">10,939,230,831,501.00 </w:t>
            </w:r>
          </w:p>
        </w:tc>
        <w:tc>
          <w:tcPr>
            <w:tcW w:w="990" w:type="dxa"/>
          </w:tcPr>
          <w:p w:rsidR="00DC37FD" w:rsidRPr="00DC37FD" w:rsidRDefault="00DC37FD" w:rsidP="00880262">
            <w:pPr>
              <w:spacing w:line="360" w:lineRule="auto"/>
              <w:jc w:val="center"/>
              <w:rPr>
                <w:sz w:val="22"/>
                <w:szCs w:val="22"/>
                <w:lang w:val="en-US"/>
              </w:rPr>
            </w:pPr>
            <w:r w:rsidRPr="00DC37FD">
              <w:rPr>
                <w:sz w:val="22"/>
                <w:szCs w:val="22"/>
                <w:lang w:val="en-US"/>
              </w:rPr>
              <w:t>115 %</w:t>
            </w:r>
          </w:p>
        </w:tc>
        <w:tc>
          <w:tcPr>
            <w:tcW w:w="1440" w:type="dxa"/>
          </w:tcPr>
          <w:p w:rsidR="00DC37FD" w:rsidRPr="00DC37FD" w:rsidRDefault="00DC37FD" w:rsidP="00880262">
            <w:pPr>
              <w:spacing w:line="360" w:lineRule="auto"/>
              <w:jc w:val="center"/>
              <w:rPr>
                <w:sz w:val="22"/>
                <w:szCs w:val="22"/>
                <w:lang w:val="en-US"/>
              </w:rPr>
            </w:pPr>
            <w:r w:rsidRPr="00DC37FD">
              <w:rPr>
                <w:color w:val="000000"/>
                <w:sz w:val="22"/>
                <w:szCs w:val="22"/>
              </w:rPr>
              <w:t>114.5 %</w:t>
            </w:r>
          </w:p>
        </w:tc>
      </w:tr>
      <w:tr w:rsidR="00DC37FD" w:rsidRPr="00D820C7" w:rsidTr="001526D9">
        <w:trPr>
          <w:trHeight w:val="72"/>
        </w:trPr>
        <w:tc>
          <w:tcPr>
            <w:tcW w:w="1231" w:type="dxa"/>
          </w:tcPr>
          <w:p w:rsidR="00DC37FD" w:rsidRPr="00DC37FD" w:rsidRDefault="00DC37FD" w:rsidP="00880262">
            <w:pPr>
              <w:spacing w:line="360" w:lineRule="auto"/>
              <w:jc w:val="center"/>
              <w:rPr>
                <w:sz w:val="22"/>
                <w:szCs w:val="22"/>
                <w:lang w:val="en-US"/>
              </w:rPr>
            </w:pPr>
            <w:r w:rsidRPr="00DC37FD">
              <w:rPr>
                <w:sz w:val="22"/>
                <w:szCs w:val="22"/>
                <w:lang w:val="en-US"/>
              </w:rPr>
              <w:t>2014</w:t>
            </w:r>
          </w:p>
        </w:tc>
        <w:tc>
          <w:tcPr>
            <w:tcW w:w="2160" w:type="dxa"/>
            <w:vAlign w:val="center"/>
          </w:tcPr>
          <w:p w:rsidR="00DC37FD" w:rsidRPr="00DC37FD" w:rsidRDefault="00DC37FD" w:rsidP="00880262">
            <w:pPr>
              <w:spacing w:line="360" w:lineRule="auto"/>
              <w:jc w:val="center"/>
              <w:rPr>
                <w:sz w:val="22"/>
                <w:szCs w:val="22"/>
                <w:lang w:val="en-US" w:eastAsia="en-US"/>
              </w:rPr>
            </w:pPr>
            <w:r w:rsidRPr="00DC37FD">
              <w:rPr>
                <w:bCs/>
                <w:sz w:val="22"/>
                <w:szCs w:val="22"/>
              </w:rPr>
              <w:t>1,139,390,482,195.02</w:t>
            </w:r>
          </w:p>
        </w:tc>
        <w:tc>
          <w:tcPr>
            <w:tcW w:w="1037" w:type="dxa"/>
          </w:tcPr>
          <w:p w:rsidR="00DC37FD" w:rsidRPr="00DC37FD" w:rsidRDefault="00DC37FD" w:rsidP="00880262">
            <w:pPr>
              <w:spacing w:line="360" w:lineRule="auto"/>
              <w:jc w:val="center"/>
              <w:rPr>
                <w:sz w:val="22"/>
                <w:szCs w:val="22"/>
                <w:lang w:val="en-US"/>
              </w:rPr>
            </w:pPr>
            <w:r w:rsidRPr="00DC37FD">
              <w:rPr>
                <w:sz w:val="22"/>
                <w:szCs w:val="22"/>
                <w:lang w:val="en-US"/>
              </w:rPr>
              <w:t>124 %</w:t>
            </w:r>
          </w:p>
        </w:tc>
        <w:tc>
          <w:tcPr>
            <w:tcW w:w="2340" w:type="dxa"/>
            <w:vAlign w:val="center"/>
          </w:tcPr>
          <w:p w:rsidR="00DC37FD" w:rsidRPr="00DC37FD" w:rsidRDefault="00880262" w:rsidP="00880262">
            <w:pPr>
              <w:spacing w:line="360" w:lineRule="auto"/>
              <w:jc w:val="center"/>
              <w:rPr>
                <w:bCs/>
                <w:sz w:val="22"/>
                <w:szCs w:val="22"/>
              </w:rPr>
            </w:pPr>
            <w:r>
              <w:rPr>
                <w:bCs/>
                <w:sz w:val="22"/>
                <w:szCs w:val="22"/>
              </w:rPr>
              <w:t>12,363,542,492,621.00</w:t>
            </w:r>
          </w:p>
        </w:tc>
        <w:tc>
          <w:tcPr>
            <w:tcW w:w="990" w:type="dxa"/>
          </w:tcPr>
          <w:p w:rsidR="00DC37FD" w:rsidRPr="00DC37FD" w:rsidRDefault="00DC37FD" w:rsidP="00880262">
            <w:pPr>
              <w:spacing w:line="360" w:lineRule="auto"/>
              <w:jc w:val="center"/>
              <w:rPr>
                <w:sz w:val="22"/>
                <w:szCs w:val="22"/>
                <w:lang w:val="en-US"/>
              </w:rPr>
            </w:pPr>
            <w:r w:rsidRPr="00DC37FD">
              <w:rPr>
                <w:sz w:val="22"/>
                <w:szCs w:val="22"/>
                <w:lang w:val="en-US"/>
              </w:rPr>
              <w:t>113 %</w:t>
            </w:r>
          </w:p>
        </w:tc>
        <w:tc>
          <w:tcPr>
            <w:tcW w:w="1440" w:type="dxa"/>
          </w:tcPr>
          <w:p w:rsidR="00DC37FD" w:rsidRPr="00DC37FD" w:rsidRDefault="00DC37FD" w:rsidP="00880262">
            <w:pPr>
              <w:spacing w:line="360" w:lineRule="auto"/>
              <w:jc w:val="center"/>
              <w:rPr>
                <w:sz w:val="22"/>
                <w:szCs w:val="22"/>
                <w:lang w:val="en-US"/>
              </w:rPr>
            </w:pPr>
            <w:r w:rsidRPr="00DC37FD">
              <w:rPr>
                <w:color w:val="000000"/>
                <w:sz w:val="22"/>
                <w:szCs w:val="22"/>
              </w:rPr>
              <w:t>118.5 % </w:t>
            </w:r>
          </w:p>
        </w:tc>
      </w:tr>
      <w:tr w:rsidR="00DC37FD" w:rsidRPr="00D820C7" w:rsidTr="001526D9">
        <w:trPr>
          <w:trHeight w:val="206"/>
        </w:trPr>
        <w:tc>
          <w:tcPr>
            <w:tcW w:w="1231" w:type="dxa"/>
          </w:tcPr>
          <w:p w:rsidR="00DC37FD" w:rsidRPr="00DC37FD" w:rsidRDefault="00DC37FD" w:rsidP="00880262">
            <w:pPr>
              <w:spacing w:line="360" w:lineRule="auto"/>
              <w:jc w:val="center"/>
              <w:rPr>
                <w:b/>
                <w:sz w:val="22"/>
                <w:szCs w:val="22"/>
                <w:lang w:val="en-US"/>
              </w:rPr>
            </w:pPr>
            <w:r w:rsidRPr="00DC37FD">
              <w:rPr>
                <w:b/>
                <w:sz w:val="22"/>
                <w:szCs w:val="22"/>
                <w:lang w:val="en-US"/>
              </w:rPr>
              <w:t>Total</w:t>
            </w:r>
          </w:p>
        </w:tc>
        <w:tc>
          <w:tcPr>
            <w:tcW w:w="2160" w:type="dxa"/>
            <w:vAlign w:val="center"/>
          </w:tcPr>
          <w:p w:rsidR="00DC37FD" w:rsidRPr="00880262" w:rsidRDefault="00DC37FD" w:rsidP="00880262">
            <w:pPr>
              <w:spacing w:line="360" w:lineRule="auto"/>
              <w:jc w:val="center"/>
              <w:rPr>
                <w:b/>
                <w:sz w:val="22"/>
                <w:szCs w:val="22"/>
                <w:lang w:val="en-US" w:eastAsia="en-US"/>
              </w:rPr>
            </w:pPr>
            <w:r w:rsidRPr="00880262">
              <w:rPr>
                <w:b/>
                <w:color w:val="000000"/>
                <w:sz w:val="22"/>
                <w:szCs w:val="22"/>
              </w:rPr>
              <w:t>4,121,497,754,191.89</w:t>
            </w:r>
          </w:p>
        </w:tc>
        <w:tc>
          <w:tcPr>
            <w:tcW w:w="1037" w:type="dxa"/>
          </w:tcPr>
          <w:p w:rsidR="00DC37FD" w:rsidRPr="00880262" w:rsidRDefault="00DC37FD" w:rsidP="00880262">
            <w:pPr>
              <w:spacing w:after="160" w:line="360" w:lineRule="auto"/>
              <w:jc w:val="center"/>
              <w:rPr>
                <w:rFonts w:eastAsiaTheme="minorHAnsi"/>
                <w:b/>
                <w:color w:val="000000"/>
                <w:sz w:val="22"/>
                <w:szCs w:val="22"/>
                <w:lang w:val="en-US" w:eastAsia="en-US"/>
              </w:rPr>
            </w:pPr>
            <w:r w:rsidRPr="00880262">
              <w:rPr>
                <w:rFonts w:eastAsiaTheme="minorHAnsi"/>
                <w:b/>
                <w:color w:val="000000"/>
                <w:sz w:val="22"/>
                <w:szCs w:val="22"/>
                <w:lang w:val="en-US" w:eastAsia="en-US"/>
              </w:rPr>
              <w:t>573 %</w:t>
            </w:r>
          </w:p>
        </w:tc>
        <w:tc>
          <w:tcPr>
            <w:tcW w:w="2340" w:type="dxa"/>
            <w:vAlign w:val="center"/>
          </w:tcPr>
          <w:p w:rsidR="00DC37FD" w:rsidRPr="00880262" w:rsidRDefault="00DC37FD" w:rsidP="00880262">
            <w:pPr>
              <w:spacing w:line="360" w:lineRule="auto"/>
              <w:jc w:val="center"/>
              <w:rPr>
                <w:b/>
                <w:color w:val="000000"/>
                <w:sz w:val="22"/>
                <w:szCs w:val="22"/>
              </w:rPr>
            </w:pPr>
            <w:r w:rsidRPr="00880262">
              <w:rPr>
                <w:b/>
                <w:color w:val="000000"/>
                <w:sz w:val="22"/>
                <w:szCs w:val="22"/>
              </w:rPr>
              <w:t>48,403,537,913,447.50</w:t>
            </w:r>
          </w:p>
        </w:tc>
        <w:tc>
          <w:tcPr>
            <w:tcW w:w="990" w:type="dxa"/>
          </w:tcPr>
          <w:p w:rsidR="00DC37FD" w:rsidRPr="00880262" w:rsidRDefault="00DC37FD" w:rsidP="00880262">
            <w:pPr>
              <w:spacing w:line="360" w:lineRule="auto"/>
              <w:jc w:val="center"/>
              <w:rPr>
                <w:b/>
                <w:sz w:val="22"/>
                <w:szCs w:val="22"/>
                <w:lang w:val="en-US"/>
              </w:rPr>
            </w:pPr>
            <w:r w:rsidRPr="00880262">
              <w:rPr>
                <w:b/>
                <w:sz w:val="22"/>
                <w:szCs w:val="22"/>
                <w:lang w:val="en-US"/>
              </w:rPr>
              <w:t>556 %</w:t>
            </w:r>
          </w:p>
        </w:tc>
        <w:tc>
          <w:tcPr>
            <w:tcW w:w="1440" w:type="dxa"/>
          </w:tcPr>
          <w:p w:rsidR="00DC37FD" w:rsidRPr="00880262" w:rsidRDefault="00DC37FD" w:rsidP="00880262">
            <w:pPr>
              <w:spacing w:line="360" w:lineRule="auto"/>
              <w:jc w:val="center"/>
              <w:rPr>
                <w:b/>
                <w:sz w:val="22"/>
                <w:szCs w:val="22"/>
                <w:lang w:val="en-US"/>
              </w:rPr>
            </w:pPr>
            <w:r w:rsidRPr="00880262">
              <w:rPr>
                <w:b/>
                <w:color w:val="000000"/>
                <w:sz w:val="22"/>
                <w:szCs w:val="22"/>
              </w:rPr>
              <w:t>564.5 %</w:t>
            </w:r>
          </w:p>
        </w:tc>
      </w:tr>
      <w:tr w:rsidR="00DC37FD" w:rsidRPr="00D820C7" w:rsidTr="00BA0239">
        <w:trPr>
          <w:trHeight w:val="368"/>
        </w:trPr>
        <w:tc>
          <w:tcPr>
            <w:tcW w:w="1231" w:type="dxa"/>
          </w:tcPr>
          <w:p w:rsidR="00DC37FD" w:rsidRPr="00DC37FD" w:rsidRDefault="00DC37FD" w:rsidP="00880262">
            <w:pPr>
              <w:spacing w:line="360" w:lineRule="auto"/>
              <w:jc w:val="center"/>
              <w:rPr>
                <w:b/>
                <w:sz w:val="22"/>
                <w:szCs w:val="22"/>
                <w:lang w:val="en-US"/>
              </w:rPr>
            </w:pPr>
            <w:r w:rsidRPr="00DC37FD">
              <w:rPr>
                <w:b/>
                <w:sz w:val="22"/>
                <w:szCs w:val="22"/>
                <w:lang w:val="en-US"/>
              </w:rPr>
              <w:t>Rata-Rata</w:t>
            </w:r>
          </w:p>
        </w:tc>
        <w:tc>
          <w:tcPr>
            <w:tcW w:w="2160" w:type="dxa"/>
          </w:tcPr>
          <w:p w:rsidR="00DC37FD" w:rsidRPr="00880262" w:rsidRDefault="00DC37FD" w:rsidP="00880262">
            <w:pPr>
              <w:spacing w:line="360" w:lineRule="auto"/>
              <w:jc w:val="center"/>
              <w:rPr>
                <w:b/>
                <w:sz w:val="22"/>
                <w:szCs w:val="22"/>
                <w:lang w:val="en-US"/>
              </w:rPr>
            </w:pPr>
            <w:r w:rsidRPr="00880262">
              <w:rPr>
                <w:b/>
                <w:color w:val="000000"/>
                <w:sz w:val="22"/>
                <w:szCs w:val="22"/>
              </w:rPr>
              <w:t>824,299,550,838.38</w:t>
            </w:r>
          </w:p>
        </w:tc>
        <w:tc>
          <w:tcPr>
            <w:tcW w:w="1037" w:type="dxa"/>
          </w:tcPr>
          <w:p w:rsidR="00DC37FD" w:rsidRPr="00880262" w:rsidRDefault="00DC37FD" w:rsidP="00880262">
            <w:pPr>
              <w:spacing w:line="360" w:lineRule="auto"/>
              <w:jc w:val="center"/>
              <w:rPr>
                <w:b/>
                <w:sz w:val="22"/>
                <w:szCs w:val="22"/>
                <w:lang w:val="en-US"/>
              </w:rPr>
            </w:pPr>
            <w:r w:rsidRPr="00880262">
              <w:rPr>
                <w:b/>
                <w:color w:val="000000"/>
                <w:sz w:val="22"/>
                <w:szCs w:val="22"/>
              </w:rPr>
              <w:t>114.6 %</w:t>
            </w:r>
          </w:p>
        </w:tc>
        <w:tc>
          <w:tcPr>
            <w:tcW w:w="2340" w:type="dxa"/>
          </w:tcPr>
          <w:p w:rsidR="00DC37FD" w:rsidRPr="00880262" w:rsidRDefault="00DC37FD" w:rsidP="00880262">
            <w:pPr>
              <w:spacing w:line="360" w:lineRule="auto"/>
              <w:jc w:val="center"/>
              <w:rPr>
                <w:b/>
                <w:color w:val="000000"/>
                <w:sz w:val="22"/>
                <w:szCs w:val="22"/>
              </w:rPr>
            </w:pPr>
            <w:r w:rsidRPr="00880262">
              <w:rPr>
                <w:b/>
                <w:color w:val="000000"/>
                <w:sz w:val="22"/>
                <w:szCs w:val="22"/>
              </w:rPr>
              <w:t>9,680,707,582,689.50</w:t>
            </w:r>
          </w:p>
        </w:tc>
        <w:tc>
          <w:tcPr>
            <w:tcW w:w="990" w:type="dxa"/>
          </w:tcPr>
          <w:p w:rsidR="00DC37FD" w:rsidRPr="00880262" w:rsidRDefault="00DC37FD" w:rsidP="00880262">
            <w:pPr>
              <w:spacing w:line="360" w:lineRule="auto"/>
              <w:jc w:val="center"/>
              <w:rPr>
                <w:b/>
                <w:sz w:val="22"/>
                <w:szCs w:val="22"/>
                <w:lang w:val="en-US"/>
              </w:rPr>
            </w:pPr>
            <w:r w:rsidRPr="00880262">
              <w:rPr>
                <w:b/>
                <w:sz w:val="22"/>
                <w:szCs w:val="22"/>
                <w:lang w:val="en-US"/>
              </w:rPr>
              <w:t>112.2 %</w:t>
            </w:r>
          </w:p>
        </w:tc>
        <w:tc>
          <w:tcPr>
            <w:tcW w:w="1440" w:type="dxa"/>
          </w:tcPr>
          <w:p w:rsidR="00DC37FD" w:rsidRPr="00880262" w:rsidRDefault="002C7064" w:rsidP="00880262">
            <w:pPr>
              <w:spacing w:line="360" w:lineRule="auto"/>
              <w:jc w:val="center"/>
              <w:rPr>
                <w:b/>
                <w:sz w:val="22"/>
                <w:szCs w:val="22"/>
                <w:lang w:val="en-US"/>
              </w:rPr>
            </w:pPr>
            <w:r>
              <w:rPr>
                <w:b/>
                <w:color w:val="000000"/>
                <w:sz w:val="22"/>
                <w:szCs w:val="22"/>
              </w:rPr>
              <w:t>113</w:t>
            </w:r>
            <w:r w:rsidR="00DC37FD" w:rsidRPr="00880262">
              <w:rPr>
                <w:b/>
                <w:color w:val="000000"/>
                <w:sz w:val="22"/>
                <w:szCs w:val="22"/>
              </w:rPr>
              <w:t>.4 % </w:t>
            </w:r>
          </w:p>
        </w:tc>
      </w:tr>
    </w:tbl>
    <w:p w:rsidR="00F659E1" w:rsidRDefault="00EC4230" w:rsidP="00DE4C07">
      <w:pPr>
        <w:spacing w:line="480" w:lineRule="auto"/>
        <w:rPr>
          <w:i/>
          <w:lang w:val="en-US"/>
        </w:rPr>
      </w:pPr>
      <w:r>
        <w:rPr>
          <w:i/>
          <w:lang w:val="en-US"/>
        </w:rPr>
        <w:t xml:space="preserve"> </w:t>
      </w:r>
      <w:proofErr w:type="spellStart"/>
      <w:proofErr w:type="gramStart"/>
      <w:r w:rsidR="00EC5267" w:rsidRPr="002F084C">
        <w:rPr>
          <w:i/>
          <w:lang w:val="en-US"/>
        </w:rPr>
        <w:t>Sumber</w:t>
      </w:r>
      <w:proofErr w:type="spellEnd"/>
      <w:r w:rsidR="00EC5267" w:rsidRPr="002F084C">
        <w:rPr>
          <w:i/>
          <w:lang w:val="en-US"/>
        </w:rPr>
        <w:t xml:space="preserve"> :</w:t>
      </w:r>
      <w:proofErr w:type="gramEnd"/>
      <w:r w:rsidR="00EC5267" w:rsidRPr="002F084C">
        <w:rPr>
          <w:i/>
          <w:lang w:val="en-US"/>
        </w:rPr>
        <w:t xml:space="preserve"> </w:t>
      </w:r>
      <w:r w:rsidR="00723A6A">
        <w:rPr>
          <w:i/>
          <w:lang w:val="en-US"/>
        </w:rPr>
        <w:t xml:space="preserve">DPKD </w:t>
      </w:r>
      <w:proofErr w:type="spellStart"/>
      <w:r w:rsidR="00EC5267" w:rsidRPr="002F084C">
        <w:rPr>
          <w:i/>
          <w:lang w:val="en-US"/>
        </w:rPr>
        <w:t>Sumbar</w:t>
      </w:r>
      <w:proofErr w:type="spellEnd"/>
      <w:r w:rsidR="00EC5267" w:rsidRPr="002F084C">
        <w:rPr>
          <w:i/>
          <w:lang w:val="en-US"/>
        </w:rPr>
        <w:t xml:space="preserve">, </w:t>
      </w:r>
      <w:proofErr w:type="spellStart"/>
      <w:r w:rsidR="00EC5267" w:rsidRPr="002F084C">
        <w:rPr>
          <w:i/>
          <w:lang w:val="en-US"/>
        </w:rPr>
        <w:t>diolah</w:t>
      </w:r>
      <w:proofErr w:type="spellEnd"/>
    </w:p>
    <w:p w:rsidR="00EB02CB" w:rsidRDefault="003657FA" w:rsidP="00DE4C07">
      <w:pPr>
        <w:spacing w:line="480" w:lineRule="auto"/>
        <w:ind w:left="360" w:firstLine="810"/>
        <w:jc w:val="both"/>
        <w:rPr>
          <w:lang w:val="en-US"/>
        </w:rPr>
      </w:pPr>
      <w:proofErr w:type="spellStart"/>
      <w:r>
        <w:rPr>
          <w:lang w:val="en-US"/>
        </w:rPr>
        <w:t>Berdasarkan</w:t>
      </w:r>
      <w:proofErr w:type="spellEnd"/>
      <w:r>
        <w:rPr>
          <w:lang w:val="en-US"/>
        </w:rPr>
        <w:t xml:space="preserve"> </w:t>
      </w:r>
      <w:proofErr w:type="spellStart"/>
      <w:r>
        <w:rPr>
          <w:lang w:val="en-US"/>
        </w:rPr>
        <w:t>Tabel</w:t>
      </w:r>
      <w:proofErr w:type="spellEnd"/>
      <w:r>
        <w:rPr>
          <w:lang w:val="en-US"/>
        </w:rPr>
        <w:t xml:space="preserve"> </w:t>
      </w:r>
      <w:r w:rsidR="005C5240" w:rsidRPr="00DD70E5">
        <w:rPr>
          <w:lang w:val="en-US"/>
        </w:rPr>
        <w:t xml:space="preserve">2 </w:t>
      </w:r>
      <w:proofErr w:type="spellStart"/>
      <w:r w:rsidR="005C5240" w:rsidRPr="00DD70E5">
        <w:rPr>
          <w:lang w:val="en-US"/>
        </w:rPr>
        <w:t>memperlihatkan</w:t>
      </w:r>
      <w:proofErr w:type="spellEnd"/>
      <w:r w:rsidR="00D21BFC" w:rsidRPr="00DD70E5">
        <w:rPr>
          <w:lang w:val="en-US"/>
        </w:rPr>
        <w:t xml:space="preserve"> </w:t>
      </w:r>
      <w:proofErr w:type="spellStart"/>
      <w:proofErr w:type="gramStart"/>
      <w:r w:rsidR="005C5240" w:rsidRPr="00DD70E5">
        <w:rPr>
          <w:lang w:val="en-US"/>
        </w:rPr>
        <w:t>kecenderungan</w:t>
      </w:r>
      <w:proofErr w:type="spellEnd"/>
      <w:r w:rsidR="005C5240" w:rsidRPr="00DD70E5">
        <w:rPr>
          <w:lang w:val="en-US"/>
        </w:rPr>
        <w:t xml:space="preserve">  </w:t>
      </w:r>
      <w:proofErr w:type="spellStart"/>
      <w:r w:rsidR="005C5240" w:rsidRPr="00DD70E5">
        <w:rPr>
          <w:lang w:val="en-US"/>
        </w:rPr>
        <w:t>meningkat</w:t>
      </w:r>
      <w:proofErr w:type="spellEnd"/>
      <w:proofErr w:type="gramEnd"/>
      <w:r w:rsidR="00D21BFC" w:rsidRPr="00DD70E5">
        <w:rPr>
          <w:lang w:val="en-US"/>
        </w:rPr>
        <w:t xml:space="preserve"> </w:t>
      </w:r>
      <w:proofErr w:type="spellStart"/>
      <w:r w:rsidR="005C5240" w:rsidRPr="00DD70E5">
        <w:rPr>
          <w:lang w:val="en-US"/>
        </w:rPr>
        <w:t>dari</w:t>
      </w:r>
      <w:proofErr w:type="spellEnd"/>
      <w:r w:rsidR="005C5240" w:rsidRPr="00DD70E5">
        <w:rPr>
          <w:lang w:val="en-US"/>
        </w:rPr>
        <w:t xml:space="preserve"> </w:t>
      </w:r>
      <w:proofErr w:type="spellStart"/>
      <w:r w:rsidR="00D611F2">
        <w:rPr>
          <w:lang w:val="en-US"/>
        </w:rPr>
        <w:t>periode</w:t>
      </w:r>
      <w:proofErr w:type="spellEnd"/>
      <w:r w:rsidR="00D611F2">
        <w:rPr>
          <w:lang w:val="en-US"/>
        </w:rPr>
        <w:t xml:space="preserve"> </w:t>
      </w:r>
      <w:proofErr w:type="spellStart"/>
      <w:r w:rsidR="00D611F2">
        <w:rPr>
          <w:lang w:val="en-US"/>
        </w:rPr>
        <w:t>tahun</w:t>
      </w:r>
      <w:proofErr w:type="spellEnd"/>
      <w:r w:rsidR="00D611F2">
        <w:rPr>
          <w:lang w:val="en-US"/>
        </w:rPr>
        <w:t xml:space="preserve"> 2010 </w:t>
      </w:r>
      <w:proofErr w:type="spellStart"/>
      <w:r w:rsidR="00D611F2">
        <w:rPr>
          <w:lang w:val="en-US"/>
        </w:rPr>
        <w:t>hingga</w:t>
      </w:r>
      <w:proofErr w:type="spellEnd"/>
      <w:r w:rsidR="00D611F2">
        <w:rPr>
          <w:lang w:val="en-US"/>
        </w:rPr>
        <w:t xml:space="preserve"> 2012</w:t>
      </w:r>
      <w:r w:rsidR="005C5240" w:rsidRPr="00DD70E5">
        <w:rPr>
          <w:lang w:val="en-US"/>
        </w:rPr>
        <w:t xml:space="preserve"> </w:t>
      </w:r>
      <w:proofErr w:type="spellStart"/>
      <w:r w:rsidR="005C5240" w:rsidRPr="00DD70E5">
        <w:rPr>
          <w:lang w:val="en-US"/>
        </w:rPr>
        <w:t>pada</w:t>
      </w:r>
      <w:proofErr w:type="spellEnd"/>
      <w:r w:rsidR="00D21BFC" w:rsidRPr="00DD70E5">
        <w:rPr>
          <w:lang w:val="en-US"/>
        </w:rPr>
        <w:t xml:space="preserve"> </w:t>
      </w:r>
      <w:r w:rsidR="005C5240" w:rsidRPr="00DD70E5">
        <w:rPr>
          <w:lang w:val="en-US"/>
        </w:rPr>
        <w:t xml:space="preserve">PAD </w:t>
      </w:r>
      <w:proofErr w:type="spellStart"/>
      <w:r w:rsidR="005C5240" w:rsidRPr="00DD70E5">
        <w:rPr>
          <w:lang w:val="en-US"/>
        </w:rPr>
        <w:t>dan</w:t>
      </w:r>
      <w:proofErr w:type="spellEnd"/>
      <w:r w:rsidR="005C5240" w:rsidRPr="00DD70E5">
        <w:rPr>
          <w:lang w:val="en-US"/>
        </w:rPr>
        <w:t xml:space="preserve"> </w:t>
      </w:r>
      <w:proofErr w:type="spellStart"/>
      <w:r w:rsidR="005C5240" w:rsidRPr="00DD70E5">
        <w:rPr>
          <w:lang w:val="en-US"/>
        </w:rPr>
        <w:t>dana</w:t>
      </w:r>
      <w:proofErr w:type="spellEnd"/>
      <w:r w:rsidR="005C5240" w:rsidRPr="00DD70E5">
        <w:rPr>
          <w:lang w:val="en-US"/>
        </w:rPr>
        <w:t xml:space="preserve"> </w:t>
      </w:r>
      <w:proofErr w:type="spellStart"/>
      <w:r w:rsidR="005C5240" w:rsidRPr="00DD70E5">
        <w:rPr>
          <w:lang w:val="en-US"/>
        </w:rPr>
        <w:t>perimbangan</w:t>
      </w:r>
      <w:proofErr w:type="spellEnd"/>
      <w:r w:rsidR="005C5240" w:rsidRPr="00DD70E5">
        <w:rPr>
          <w:lang w:val="en-US"/>
        </w:rPr>
        <w:t xml:space="preserve">. </w:t>
      </w:r>
      <w:proofErr w:type="spellStart"/>
      <w:r w:rsidR="005C5240" w:rsidRPr="00DD70E5">
        <w:rPr>
          <w:lang w:val="en-US"/>
        </w:rPr>
        <w:t>Kedua</w:t>
      </w:r>
      <w:proofErr w:type="spellEnd"/>
      <w:r w:rsidR="005C5240" w:rsidRPr="00DD70E5">
        <w:rPr>
          <w:lang w:val="en-US"/>
        </w:rPr>
        <w:t xml:space="preserve"> </w:t>
      </w:r>
      <w:proofErr w:type="spellStart"/>
      <w:r w:rsidR="005C5240" w:rsidRPr="00DD70E5">
        <w:rPr>
          <w:lang w:val="en-US"/>
        </w:rPr>
        <w:t>potensi</w:t>
      </w:r>
      <w:proofErr w:type="spellEnd"/>
      <w:r w:rsidR="005C5240" w:rsidRPr="00DD70E5">
        <w:rPr>
          <w:lang w:val="en-US"/>
        </w:rPr>
        <w:t xml:space="preserve"> </w:t>
      </w:r>
      <w:proofErr w:type="spellStart"/>
      <w:r w:rsidR="005C5240" w:rsidRPr="00DD70E5">
        <w:rPr>
          <w:lang w:val="en-US"/>
        </w:rPr>
        <w:t>tersebut</w:t>
      </w:r>
      <w:proofErr w:type="spellEnd"/>
      <w:r w:rsidR="005C5240" w:rsidRPr="00DD70E5">
        <w:rPr>
          <w:lang w:val="en-US"/>
        </w:rPr>
        <w:t xml:space="preserve"> </w:t>
      </w:r>
      <w:proofErr w:type="spellStart"/>
      <w:r w:rsidR="005C5240" w:rsidRPr="00DD70E5">
        <w:rPr>
          <w:lang w:val="en-US"/>
        </w:rPr>
        <w:t>memiliki</w:t>
      </w:r>
      <w:proofErr w:type="spellEnd"/>
      <w:r w:rsidR="005C5240" w:rsidRPr="00DD70E5">
        <w:rPr>
          <w:lang w:val="en-US"/>
        </w:rPr>
        <w:t xml:space="preserve"> </w:t>
      </w:r>
      <w:proofErr w:type="spellStart"/>
      <w:r w:rsidR="005C5240" w:rsidRPr="00DD70E5">
        <w:rPr>
          <w:lang w:val="en-US"/>
        </w:rPr>
        <w:t>kecenderungan</w:t>
      </w:r>
      <w:proofErr w:type="spellEnd"/>
      <w:r w:rsidR="005C5240" w:rsidRPr="00DD70E5">
        <w:rPr>
          <w:lang w:val="en-US"/>
        </w:rPr>
        <w:t xml:space="preserve"> </w:t>
      </w:r>
      <w:proofErr w:type="spellStart"/>
      <w:r w:rsidR="005C5240" w:rsidRPr="00DD70E5">
        <w:rPr>
          <w:lang w:val="en-US"/>
        </w:rPr>
        <w:t>pada</w:t>
      </w:r>
      <w:proofErr w:type="spellEnd"/>
      <w:r w:rsidR="005C5240" w:rsidRPr="00DD70E5">
        <w:rPr>
          <w:lang w:val="en-US"/>
        </w:rPr>
        <w:t xml:space="preserve"> </w:t>
      </w:r>
      <w:proofErr w:type="spellStart"/>
      <w:r w:rsidR="005C5240" w:rsidRPr="00DD70E5">
        <w:rPr>
          <w:lang w:val="en-US"/>
        </w:rPr>
        <w:t>tren</w:t>
      </w:r>
      <w:proofErr w:type="spellEnd"/>
      <w:r w:rsidR="005C5240" w:rsidRPr="00DD70E5">
        <w:rPr>
          <w:lang w:val="en-US"/>
        </w:rPr>
        <w:t xml:space="preserve"> yang </w:t>
      </w:r>
      <w:proofErr w:type="spellStart"/>
      <w:r w:rsidR="005C5240" w:rsidRPr="00DD70E5">
        <w:rPr>
          <w:lang w:val="en-US"/>
        </w:rPr>
        <w:t>selal</w:t>
      </w:r>
      <w:r w:rsidR="00EB02CB">
        <w:rPr>
          <w:lang w:val="en-US"/>
        </w:rPr>
        <w:t>u</w:t>
      </w:r>
      <w:proofErr w:type="spellEnd"/>
      <w:r w:rsidR="00EB02CB">
        <w:rPr>
          <w:lang w:val="en-US"/>
        </w:rPr>
        <w:t xml:space="preserve"> </w:t>
      </w:r>
      <w:proofErr w:type="spellStart"/>
      <w:r w:rsidR="00EB02CB">
        <w:rPr>
          <w:lang w:val="en-US"/>
        </w:rPr>
        <w:t>meningkat</w:t>
      </w:r>
      <w:proofErr w:type="spellEnd"/>
      <w:r w:rsidR="00EB02CB">
        <w:rPr>
          <w:lang w:val="en-US"/>
        </w:rPr>
        <w:t xml:space="preserve"> </w:t>
      </w:r>
      <w:proofErr w:type="spellStart"/>
      <w:r w:rsidR="00EB02CB">
        <w:rPr>
          <w:lang w:val="en-US"/>
        </w:rPr>
        <w:t>dari</w:t>
      </w:r>
      <w:proofErr w:type="spellEnd"/>
      <w:r w:rsidR="00EB02CB">
        <w:rPr>
          <w:lang w:val="en-US"/>
        </w:rPr>
        <w:t xml:space="preserve"> </w:t>
      </w:r>
      <w:proofErr w:type="spellStart"/>
      <w:r w:rsidR="00EB02CB">
        <w:rPr>
          <w:lang w:val="en-US"/>
        </w:rPr>
        <w:t>tahun</w:t>
      </w:r>
      <w:proofErr w:type="spellEnd"/>
      <w:r w:rsidR="00EB02CB">
        <w:rPr>
          <w:lang w:val="en-US"/>
        </w:rPr>
        <w:t xml:space="preserve"> </w:t>
      </w:r>
      <w:proofErr w:type="spellStart"/>
      <w:r w:rsidR="00EB02CB">
        <w:rPr>
          <w:lang w:val="en-US"/>
        </w:rPr>
        <w:t>ke</w:t>
      </w:r>
      <w:proofErr w:type="spellEnd"/>
      <w:r w:rsidR="00EB02CB">
        <w:rPr>
          <w:lang w:val="en-US"/>
        </w:rPr>
        <w:t xml:space="preserve"> </w:t>
      </w:r>
      <w:proofErr w:type="spellStart"/>
      <w:r w:rsidR="00EB02CB">
        <w:rPr>
          <w:lang w:val="en-US"/>
        </w:rPr>
        <w:t>tahun</w:t>
      </w:r>
      <w:proofErr w:type="spellEnd"/>
      <w:r w:rsidR="00EB02CB">
        <w:rPr>
          <w:lang w:val="en-US"/>
        </w:rPr>
        <w:t xml:space="preserve">, </w:t>
      </w:r>
      <w:proofErr w:type="spellStart"/>
      <w:r w:rsidR="00EB02CB">
        <w:rPr>
          <w:lang w:val="en-US"/>
        </w:rPr>
        <w:t>n</w:t>
      </w:r>
      <w:r w:rsidR="00710148">
        <w:rPr>
          <w:lang w:val="en-US"/>
        </w:rPr>
        <w:t>amun</w:t>
      </w:r>
      <w:proofErr w:type="spellEnd"/>
      <w:r w:rsidR="00710148">
        <w:rPr>
          <w:lang w:val="en-US"/>
        </w:rPr>
        <w:t xml:space="preserve"> </w:t>
      </w:r>
      <w:proofErr w:type="spellStart"/>
      <w:r w:rsidR="00710148">
        <w:rPr>
          <w:lang w:val="en-US"/>
        </w:rPr>
        <w:t>pada</w:t>
      </w:r>
      <w:proofErr w:type="spellEnd"/>
      <w:r w:rsidR="00710148">
        <w:rPr>
          <w:lang w:val="en-US"/>
        </w:rPr>
        <w:t xml:space="preserve"> </w:t>
      </w:r>
      <w:proofErr w:type="spellStart"/>
      <w:r w:rsidR="00710148">
        <w:rPr>
          <w:lang w:val="en-US"/>
        </w:rPr>
        <w:t>tahun</w:t>
      </w:r>
      <w:proofErr w:type="spellEnd"/>
      <w:r w:rsidR="00710148">
        <w:rPr>
          <w:lang w:val="en-US"/>
        </w:rPr>
        <w:t xml:space="preserve"> 2013 </w:t>
      </w:r>
      <w:proofErr w:type="spellStart"/>
      <w:r w:rsidR="00710148">
        <w:rPr>
          <w:lang w:val="en-US"/>
        </w:rPr>
        <w:t>indeks</w:t>
      </w:r>
      <w:proofErr w:type="spellEnd"/>
      <w:r w:rsidR="00710148">
        <w:rPr>
          <w:lang w:val="en-US"/>
        </w:rPr>
        <w:t xml:space="preserve"> PAD </w:t>
      </w:r>
      <w:proofErr w:type="spellStart"/>
      <w:r w:rsidR="00710148">
        <w:rPr>
          <w:lang w:val="en-US"/>
        </w:rPr>
        <w:t>maupun</w:t>
      </w:r>
      <w:proofErr w:type="spellEnd"/>
      <w:r w:rsidR="00710148">
        <w:rPr>
          <w:lang w:val="en-US"/>
        </w:rPr>
        <w:t xml:space="preserve"> </w:t>
      </w:r>
      <w:proofErr w:type="spellStart"/>
      <w:proofErr w:type="gramStart"/>
      <w:r w:rsidR="00710148">
        <w:rPr>
          <w:lang w:val="en-US"/>
        </w:rPr>
        <w:t>dana</w:t>
      </w:r>
      <w:proofErr w:type="spellEnd"/>
      <w:proofErr w:type="gramEnd"/>
      <w:r w:rsidR="00710148">
        <w:rPr>
          <w:lang w:val="en-US"/>
        </w:rPr>
        <w:t xml:space="preserve"> </w:t>
      </w:r>
      <w:proofErr w:type="spellStart"/>
      <w:r w:rsidR="00710148">
        <w:rPr>
          <w:lang w:val="en-US"/>
        </w:rPr>
        <w:t>perimbangan</w:t>
      </w:r>
      <w:proofErr w:type="spellEnd"/>
      <w:r w:rsidR="00710148">
        <w:rPr>
          <w:lang w:val="en-US"/>
        </w:rPr>
        <w:t xml:space="preserve"> </w:t>
      </w:r>
      <w:proofErr w:type="spellStart"/>
      <w:r w:rsidR="00710148">
        <w:rPr>
          <w:lang w:val="en-US"/>
        </w:rPr>
        <w:t>m</w:t>
      </w:r>
      <w:r w:rsidR="00EB02CB">
        <w:rPr>
          <w:lang w:val="en-US"/>
        </w:rPr>
        <w:t>engalami</w:t>
      </w:r>
      <w:proofErr w:type="spellEnd"/>
      <w:r w:rsidR="00EB02CB">
        <w:rPr>
          <w:lang w:val="en-US"/>
        </w:rPr>
        <w:t xml:space="preserve"> </w:t>
      </w:r>
      <w:proofErr w:type="spellStart"/>
      <w:r w:rsidR="00EB02CB">
        <w:rPr>
          <w:lang w:val="en-US"/>
        </w:rPr>
        <w:t>penurunan</w:t>
      </w:r>
      <w:proofErr w:type="spellEnd"/>
      <w:r w:rsidR="00EB02CB">
        <w:rPr>
          <w:lang w:val="en-US"/>
        </w:rPr>
        <w:t>.</w:t>
      </w:r>
    </w:p>
    <w:p w:rsidR="009A34DA" w:rsidRDefault="005C5240" w:rsidP="00DE4C07">
      <w:pPr>
        <w:spacing w:line="480" w:lineRule="auto"/>
        <w:ind w:left="360" w:firstLine="810"/>
        <w:jc w:val="both"/>
        <w:rPr>
          <w:lang w:val="en-US"/>
        </w:rPr>
      </w:pPr>
      <w:proofErr w:type="spellStart"/>
      <w:r w:rsidRPr="00DD70E5">
        <w:rPr>
          <w:lang w:val="en-US"/>
        </w:rPr>
        <w:t>Pada</w:t>
      </w:r>
      <w:proofErr w:type="spellEnd"/>
      <w:r w:rsidRPr="00DD70E5">
        <w:rPr>
          <w:lang w:val="en-US"/>
        </w:rPr>
        <w:t xml:space="preserve"> </w:t>
      </w:r>
      <w:proofErr w:type="spellStart"/>
      <w:r w:rsidRPr="00DD70E5">
        <w:rPr>
          <w:lang w:val="en-US"/>
        </w:rPr>
        <w:t>prinsipnya</w:t>
      </w:r>
      <w:proofErr w:type="spellEnd"/>
      <w:r w:rsidRPr="00DD70E5">
        <w:rPr>
          <w:lang w:val="en-US"/>
        </w:rPr>
        <w:t xml:space="preserve"> </w:t>
      </w:r>
      <w:proofErr w:type="spellStart"/>
      <w:r w:rsidRPr="00DD70E5">
        <w:rPr>
          <w:lang w:val="en-US"/>
        </w:rPr>
        <w:t>semakin</w:t>
      </w:r>
      <w:proofErr w:type="spellEnd"/>
      <w:r w:rsidRPr="00DD70E5">
        <w:rPr>
          <w:lang w:val="en-US"/>
        </w:rPr>
        <w:t xml:space="preserve"> </w:t>
      </w:r>
      <w:proofErr w:type="spellStart"/>
      <w:r w:rsidRPr="00DD70E5">
        <w:rPr>
          <w:lang w:val="en-US"/>
        </w:rPr>
        <w:t>besar</w:t>
      </w:r>
      <w:proofErr w:type="spellEnd"/>
      <w:r w:rsidRPr="00DD70E5">
        <w:rPr>
          <w:lang w:val="en-US"/>
        </w:rPr>
        <w:t xml:space="preserve"> </w:t>
      </w:r>
      <w:proofErr w:type="spellStart"/>
      <w:r w:rsidRPr="00DD70E5">
        <w:rPr>
          <w:lang w:val="en-US"/>
        </w:rPr>
        <w:t>sumbangan</w:t>
      </w:r>
      <w:proofErr w:type="spellEnd"/>
      <w:r w:rsidRPr="00DD70E5">
        <w:rPr>
          <w:lang w:val="en-US"/>
        </w:rPr>
        <w:t xml:space="preserve"> PAD </w:t>
      </w:r>
      <w:proofErr w:type="spellStart"/>
      <w:r w:rsidR="008B2ED3">
        <w:rPr>
          <w:lang w:val="en-US"/>
        </w:rPr>
        <w:t>terhadap</w:t>
      </w:r>
      <w:proofErr w:type="spellEnd"/>
      <w:r w:rsidR="008B2ED3">
        <w:rPr>
          <w:lang w:val="en-US"/>
        </w:rPr>
        <w:t xml:space="preserve"> </w:t>
      </w:r>
      <w:proofErr w:type="spellStart"/>
      <w:r w:rsidR="008B2ED3">
        <w:rPr>
          <w:lang w:val="en-US"/>
        </w:rPr>
        <w:t>pengeluaran</w:t>
      </w:r>
      <w:proofErr w:type="spellEnd"/>
      <w:r w:rsidR="008B2ED3">
        <w:rPr>
          <w:lang w:val="en-US"/>
        </w:rPr>
        <w:t xml:space="preserve"> </w:t>
      </w:r>
      <w:proofErr w:type="spellStart"/>
      <w:proofErr w:type="gramStart"/>
      <w:r w:rsidR="008B2ED3">
        <w:rPr>
          <w:lang w:val="en-US"/>
        </w:rPr>
        <w:t>akan</w:t>
      </w:r>
      <w:proofErr w:type="spellEnd"/>
      <w:proofErr w:type="gramEnd"/>
      <w:r w:rsidR="008B2ED3">
        <w:rPr>
          <w:lang w:val="en-US"/>
        </w:rPr>
        <w:t xml:space="preserve"> </w:t>
      </w:r>
      <w:proofErr w:type="spellStart"/>
      <w:r w:rsidR="008B2ED3">
        <w:rPr>
          <w:lang w:val="en-US"/>
        </w:rPr>
        <w:t>menun</w:t>
      </w:r>
      <w:r w:rsidRPr="00DD70E5">
        <w:rPr>
          <w:lang w:val="en-US"/>
        </w:rPr>
        <w:t>jukkan</w:t>
      </w:r>
      <w:proofErr w:type="spellEnd"/>
      <w:r w:rsidRPr="00DD70E5">
        <w:rPr>
          <w:lang w:val="en-US"/>
        </w:rPr>
        <w:t xml:space="preserve"> </w:t>
      </w:r>
      <w:proofErr w:type="spellStart"/>
      <w:r w:rsidRPr="00DD70E5">
        <w:rPr>
          <w:lang w:val="en-US"/>
        </w:rPr>
        <w:t>semakin</w:t>
      </w:r>
      <w:proofErr w:type="spellEnd"/>
      <w:r w:rsidRPr="00DD70E5">
        <w:rPr>
          <w:lang w:val="en-US"/>
        </w:rPr>
        <w:t xml:space="preserve"> </w:t>
      </w:r>
      <w:proofErr w:type="spellStart"/>
      <w:r w:rsidRPr="00DD70E5">
        <w:rPr>
          <w:lang w:val="en-US"/>
        </w:rPr>
        <w:t>kecil</w:t>
      </w:r>
      <w:proofErr w:type="spellEnd"/>
      <w:r w:rsidRPr="00DD70E5">
        <w:rPr>
          <w:lang w:val="en-US"/>
        </w:rPr>
        <w:t xml:space="preserve"> </w:t>
      </w:r>
      <w:proofErr w:type="spellStart"/>
      <w:r w:rsidRPr="00DD70E5">
        <w:rPr>
          <w:lang w:val="en-US"/>
        </w:rPr>
        <w:t>ketergantungan</w:t>
      </w:r>
      <w:proofErr w:type="spellEnd"/>
      <w:r w:rsidRPr="00DD70E5">
        <w:rPr>
          <w:lang w:val="en-US"/>
        </w:rPr>
        <w:t xml:space="preserve"> </w:t>
      </w:r>
      <w:proofErr w:type="spellStart"/>
      <w:r w:rsidRPr="00DD70E5">
        <w:rPr>
          <w:lang w:val="en-US"/>
        </w:rPr>
        <w:t>daerah</w:t>
      </w:r>
      <w:proofErr w:type="spellEnd"/>
      <w:r w:rsidRPr="00DD70E5">
        <w:rPr>
          <w:lang w:val="en-US"/>
        </w:rPr>
        <w:t xml:space="preserve"> </w:t>
      </w:r>
      <w:proofErr w:type="spellStart"/>
      <w:r w:rsidRPr="00DD70E5">
        <w:rPr>
          <w:lang w:val="en-US"/>
        </w:rPr>
        <w:t>kepada</w:t>
      </w:r>
      <w:proofErr w:type="spellEnd"/>
      <w:r w:rsidRPr="00DD70E5">
        <w:rPr>
          <w:lang w:val="en-US"/>
        </w:rPr>
        <w:t xml:space="preserve"> </w:t>
      </w:r>
      <w:proofErr w:type="spellStart"/>
      <w:r w:rsidRPr="00DD70E5">
        <w:rPr>
          <w:lang w:val="en-US"/>
        </w:rPr>
        <w:t>pusat</w:t>
      </w:r>
      <w:proofErr w:type="spellEnd"/>
      <w:r w:rsidRPr="00DD70E5">
        <w:rPr>
          <w:lang w:val="en-US"/>
        </w:rPr>
        <w:t xml:space="preserve"> (Edison, </w:t>
      </w:r>
      <w:proofErr w:type="spellStart"/>
      <w:r w:rsidR="00D21BFC" w:rsidRPr="00DD70E5">
        <w:rPr>
          <w:lang w:val="en-US"/>
        </w:rPr>
        <w:t>dalam</w:t>
      </w:r>
      <w:proofErr w:type="spellEnd"/>
      <w:r w:rsidR="00D21BFC" w:rsidRPr="00DD70E5">
        <w:rPr>
          <w:lang w:val="en-US"/>
        </w:rPr>
        <w:t xml:space="preserve"> </w:t>
      </w:r>
      <w:proofErr w:type="spellStart"/>
      <w:r w:rsidR="00316C1B">
        <w:rPr>
          <w:lang w:val="en-US"/>
        </w:rPr>
        <w:t>Agri</w:t>
      </w:r>
      <w:proofErr w:type="spellEnd"/>
      <w:r w:rsidR="00316C1B">
        <w:rPr>
          <w:lang w:val="en-US"/>
        </w:rPr>
        <w:t xml:space="preserve"> </w:t>
      </w:r>
      <w:r w:rsidR="00D21BFC" w:rsidRPr="00DD70E5">
        <w:rPr>
          <w:lang w:val="en-US"/>
        </w:rPr>
        <w:t>2011</w:t>
      </w:r>
      <w:r w:rsidRPr="00DD70E5">
        <w:rPr>
          <w:lang w:val="en-US"/>
        </w:rPr>
        <w:t xml:space="preserve">). </w:t>
      </w:r>
      <w:proofErr w:type="spellStart"/>
      <w:r w:rsidR="00224B33">
        <w:rPr>
          <w:lang w:val="en-US"/>
        </w:rPr>
        <w:t>Jika</w:t>
      </w:r>
      <w:proofErr w:type="spellEnd"/>
      <w:r w:rsidR="00224B33">
        <w:rPr>
          <w:lang w:val="en-US"/>
        </w:rPr>
        <w:t xml:space="preserve"> </w:t>
      </w:r>
      <w:proofErr w:type="spellStart"/>
      <w:r w:rsidR="00224B33">
        <w:rPr>
          <w:lang w:val="en-US"/>
        </w:rPr>
        <w:t>dilihat</w:t>
      </w:r>
      <w:proofErr w:type="spellEnd"/>
      <w:r w:rsidR="00224B33">
        <w:rPr>
          <w:lang w:val="en-US"/>
        </w:rPr>
        <w:t xml:space="preserve"> </w:t>
      </w:r>
      <w:proofErr w:type="spellStart"/>
      <w:r w:rsidR="00224B33">
        <w:rPr>
          <w:lang w:val="en-US"/>
        </w:rPr>
        <w:t>dari</w:t>
      </w:r>
      <w:proofErr w:type="spellEnd"/>
      <w:r w:rsidR="00224B33">
        <w:rPr>
          <w:lang w:val="en-US"/>
        </w:rPr>
        <w:t xml:space="preserve"> </w:t>
      </w:r>
      <w:proofErr w:type="spellStart"/>
      <w:r w:rsidR="00224B33">
        <w:rPr>
          <w:lang w:val="en-US"/>
        </w:rPr>
        <w:t>angka</w:t>
      </w:r>
      <w:proofErr w:type="spellEnd"/>
      <w:r w:rsidR="00224B33">
        <w:rPr>
          <w:lang w:val="en-US"/>
        </w:rPr>
        <w:t xml:space="preserve"> </w:t>
      </w:r>
      <w:proofErr w:type="spellStart"/>
      <w:r w:rsidR="00224B33">
        <w:rPr>
          <w:lang w:val="en-US"/>
        </w:rPr>
        <w:t>indeksnya</w:t>
      </w:r>
      <w:proofErr w:type="spellEnd"/>
      <w:r w:rsidR="00224B33">
        <w:rPr>
          <w:lang w:val="en-US"/>
        </w:rPr>
        <w:t xml:space="preserve"> </w:t>
      </w:r>
      <w:proofErr w:type="spellStart"/>
      <w:r w:rsidR="00224B33">
        <w:rPr>
          <w:lang w:val="en-US"/>
        </w:rPr>
        <w:t>persentase</w:t>
      </w:r>
      <w:proofErr w:type="spellEnd"/>
      <w:r w:rsidR="00224B33">
        <w:rPr>
          <w:lang w:val="en-US"/>
        </w:rPr>
        <w:t xml:space="preserve"> </w:t>
      </w:r>
      <w:proofErr w:type="spellStart"/>
      <w:r w:rsidR="00224B33">
        <w:rPr>
          <w:lang w:val="en-US"/>
        </w:rPr>
        <w:lastRenderedPageBreak/>
        <w:t>kenaikan</w:t>
      </w:r>
      <w:proofErr w:type="spellEnd"/>
      <w:r w:rsidR="00224B33">
        <w:rPr>
          <w:lang w:val="en-US"/>
        </w:rPr>
        <w:t xml:space="preserve"> PAD </w:t>
      </w:r>
      <w:proofErr w:type="spellStart"/>
      <w:r w:rsidR="00EB02CB">
        <w:rPr>
          <w:lang w:val="en-US"/>
        </w:rPr>
        <w:t>dari</w:t>
      </w:r>
      <w:proofErr w:type="spellEnd"/>
      <w:r w:rsidR="00EB02CB">
        <w:rPr>
          <w:lang w:val="en-US"/>
        </w:rPr>
        <w:t xml:space="preserve"> </w:t>
      </w:r>
      <w:proofErr w:type="spellStart"/>
      <w:r w:rsidR="00EB02CB">
        <w:rPr>
          <w:lang w:val="en-US"/>
        </w:rPr>
        <w:t>tahun</w:t>
      </w:r>
      <w:proofErr w:type="spellEnd"/>
      <w:r w:rsidR="00EB02CB">
        <w:rPr>
          <w:lang w:val="en-US"/>
        </w:rPr>
        <w:t xml:space="preserve"> 2010 </w:t>
      </w:r>
      <w:proofErr w:type="spellStart"/>
      <w:r w:rsidR="00EB02CB">
        <w:rPr>
          <w:lang w:val="en-US"/>
        </w:rPr>
        <w:t>sampai</w:t>
      </w:r>
      <w:proofErr w:type="spellEnd"/>
      <w:r w:rsidR="00EB02CB">
        <w:rPr>
          <w:lang w:val="en-US"/>
        </w:rPr>
        <w:t xml:space="preserve"> 2014</w:t>
      </w:r>
      <w:r w:rsidR="002F084C">
        <w:rPr>
          <w:lang w:val="en-US"/>
        </w:rPr>
        <w:t xml:space="preserve"> </w:t>
      </w:r>
      <w:proofErr w:type="spellStart"/>
      <w:r w:rsidR="00623514">
        <w:rPr>
          <w:lang w:val="en-US"/>
        </w:rPr>
        <w:t>mencapai</w:t>
      </w:r>
      <w:proofErr w:type="spellEnd"/>
      <w:r w:rsidR="00623514">
        <w:rPr>
          <w:lang w:val="en-US"/>
        </w:rPr>
        <w:t xml:space="preserve"> </w:t>
      </w:r>
      <w:proofErr w:type="spellStart"/>
      <w:r w:rsidR="00764D21">
        <w:rPr>
          <w:lang w:val="en-US"/>
        </w:rPr>
        <w:t>indeks</w:t>
      </w:r>
      <w:proofErr w:type="spellEnd"/>
      <w:r w:rsidR="00764D21">
        <w:rPr>
          <w:lang w:val="en-US"/>
        </w:rPr>
        <w:t xml:space="preserve"> rata-rata 114,6</w:t>
      </w:r>
      <w:r w:rsidR="0079197D">
        <w:rPr>
          <w:lang w:val="en-US"/>
        </w:rPr>
        <w:t xml:space="preserve"> % </w:t>
      </w:r>
      <w:proofErr w:type="spellStart"/>
      <w:r w:rsidR="0079197D">
        <w:rPr>
          <w:lang w:val="en-US"/>
        </w:rPr>
        <w:t>pertahun</w:t>
      </w:r>
      <w:proofErr w:type="spellEnd"/>
      <w:r w:rsidR="00224B33">
        <w:rPr>
          <w:lang w:val="en-US"/>
        </w:rPr>
        <w:t xml:space="preserve">. </w:t>
      </w:r>
      <w:proofErr w:type="spellStart"/>
      <w:r w:rsidR="00224B33">
        <w:rPr>
          <w:lang w:val="en-US"/>
        </w:rPr>
        <w:t>Namun</w:t>
      </w:r>
      <w:proofErr w:type="spellEnd"/>
      <w:r w:rsidR="00224B33">
        <w:rPr>
          <w:lang w:val="en-US"/>
        </w:rPr>
        <w:t xml:space="preserve"> </w:t>
      </w:r>
      <w:proofErr w:type="spellStart"/>
      <w:r w:rsidR="00224B33">
        <w:rPr>
          <w:lang w:val="en-US"/>
        </w:rPr>
        <w:t>h</w:t>
      </w:r>
      <w:r w:rsidRPr="00DD70E5">
        <w:rPr>
          <w:lang w:val="en-US"/>
        </w:rPr>
        <w:t>al</w:t>
      </w:r>
      <w:proofErr w:type="spellEnd"/>
      <w:r w:rsidRPr="00DD70E5">
        <w:rPr>
          <w:lang w:val="en-US"/>
        </w:rPr>
        <w:t xml:space="preserve"> </w:t>
      </w:r>
      <w:proofErr w:type="spellStart"/>
      <w:r w:rsidRPr="00DD70E5">
        <w:rPr>
          <w:lang w:val="en-US"/>
        </w:rPr>
        <w:t>ini</w:t>
      </w:r>
      <w:proofErr w:type="spellEnd"/>
      <w:r w:rsidRPr="00DD70E5">
        <w:rPr>
          <w:lang w:val="en-US"/>
        </w:rPr>
        <w:t xml:space="preserve"> </w:t>
      </w:r>
      <w:proofErr w:type="spellStart"/>
      <w:r w:rsidRPr="00DD70E5">
        <w:rPr>
          <w:lang w:val="en-US"/>
        </w:rPr>
        <w:t>tidak</w:t>
      </w:r>
      <w:proofErr w:type="spellEnd"/>
      <w:r w:rsidRPr="00DD70E5">
        <w:rPr>
          <w:lang w:val="en-US"/>
        </w:rPr>
        <w:t xml:space="preserve"> </w:t>
      </w:r>
      <w:proofErr w:type="spellStart"/>
      <w:r w:rsidRPr="00DD70E5">
        <w:rPr>
          <w:lang w:val="en-US"/>
        </w:rPr>
        <w:t>terlihat</w:t>
      </w:r>
      <w:proofErr w:type="spellEnd"/>
      <w:r w:rsidRPr="00DD70E5">
        <w:rPr>
          <w:lang w:val="en-US"/>
        </w:rPr>
        <w:t xml:space="preserve"> </w:t>
      </w:r>
      <w:proofErr w:type="spellStart"/>
      <w:r w:rsidRPr="00DD70E5">
        <w:rPr>
          <w:lang w:val="en-US"/>
        </w:rPr>
        <w:t>dalam</w:t>
      </w:r>
      <w:proofErr w:type="spellEnd"/>
      <w:r w:rsidRPr="00DD70E5">
        <w:rPr>
          <w:lang w:val="en-US"/>
        </w:rPr>
        <w:t xml:space="preserve"> </w:t>
      </w:r>
      <w:proofErr w:type="spellStart"/>
      <w:r w:rsidR="00623514">
        <w:rPr>
          <w:lang w:val="en-US"/>
        </w:rPr>
        <w:t>ju</w:t>
      </w:r>
      <w:r w:rsidR="002F084C">
        <w:rPr>
          <w:lang w:val="en-US"/>
        </w:rPr>
        <w:t>m</w:t>
      </w:r>
      <w:r w:rsidR="00623514">
        <w:rPr>
          <w:lang w:val="en-US"/>
        </w:rPr>
        <w:t>lah</w:t>
      </w:r>
      <w:proofErr w:type="spellEnd"/>
      <w:r w:rsidR="00623514">
        <w:rPr>
          <w:lang w:val="en-US"/>
        </w:rPr>
        <w:t xml:space="preserve"> </w:t>
      </w:r>
      <w:proofErr w:type="spellStart"/>
      <w:r w:rsidR="00623514">
        <w:rPr>
          <w:lang w:val="en-US"/>
        </w:rPr>
        <w:t>alokasinya</w:t>
      </w:r>
      <w:proofErr w:type="spellEnd"/>
      <w:r w:rsidR="00623514">
        <w:rPr>
          <w:lang w:val="en-US"/>
        </w:rPr>
        <w:t xml:space="preserve"> </w:t>
      </w:r>
      <w:proofErr w:type="spellStart"/>
      <w:r w:rsidRPr="00DD70E5">
        <w:rPr>
          <w:lang w:val="en-US"/>
        </w:rPr>
        <w:t>dimana</w:t>
      </w:r>
      <w:proofErr w:type="spellEnd"/>
      <w:r w:rsidRPr="00DD70E5">
        <w:rPr>
          <w:lang w:val="en-US"/>
        </w:rPr>
        <w:t xml:space="preserve"> </w:t>
      </w:r>
      <w:proofErr w:type="spellStart"/>
      <w:r w:rsidR="00623514">
        <w:rPr>
          <w:lang w:val="en-US"/>
        </w:rPr>
        <w:t>jumlah</w:t>
      </w:r>
      <w:proofErr w:type="spellEnd"/>
      <w:r w:rsidR="00623514">
        <w:rPr>
          <w:lang w:val="en-US"/>
        </w:rPr>
        <w:t xml:space="preserve"> </w:t>
      </w:r>
      <w:proofErr w:type="spellStart"/>
      <w:r w:rsidR="00623514">
        <w:rPr>
          <w:lang w:val="en-US"/>
        </w:rPr>
        <w:t>alokasi</w:t>
      </w:r>
      <w:proofErr w:type="spellEnd"/>
      <w:r w:rsidR="00623514">
        <w:rPr>
          <w:lang w:val="en-US"/>
        </w:rPr>
        <w:t xml:space="preserve"> </w:t>
      </w:r>
      <w:r w:rsidRPr="00DD70E5">
        <w:rPr>
          <w:lang w:val="en-US"/>
        </w:rPr>
        <w:t>PAD</w:t>
      </w:r>
      <w:r w:rsidR="00EB02CB">
        <w:rPr>
          <w:lang w:val="en-US"/>
        </w:rPr>
        <w:t xml:space="preserve"> </w:t>
      </w:r>
      <w:proofErr w:type="spellStart"/>
      <w:r w:rsidR="00EB02CB">
        <w:rPr>
          <w:lang w:val="en-US"/>
        </w:rPr>
        <w:t>dari</w:t>
      </w:r>
      <w:proofErr w:type="spellEnd"/>
      <w:r w:rsidR="00EB02CB">
        <w:rPr>
          <w:lang w:val="en-US"/>
        </w:rPr>
        <w:t xml:space="preserve"> </w:t>
      </w:r>
      <w:proofErr w:type="spellStart"/>
      <w:r w:rsidR="00EB02CB">
        <w:rPr>
          <w:lang w:val="en-US"/>
        </w:rPr>
        <w:t>tahun</w:t>
      </w:r>
      <w:proofErr w:type="spellEnd"/>
      <w:r w:rsidR="00EB02CB">
        <w:rPr>
          <w:lang w:val="en-US"/>
        </w:rPr>
        <w:t xml:space="preserve"> 2010 </w:t>
      </w:r>
      <w:proofErr w:type="spellStart"/>
      <w:r w:rsidR="00EB02CB">
        <w:rPr>
          <w:lang w:val="en-US"/>
        </w:rPr>
        <w:t>sampai</w:t>
      </w:r>
      <w:proofErr w:type="spellEnd"/>
      <w:r w:rsidR="00EB02CB">
        <w:rPr>
          <w:lang w:val="en-US"/>
        </w:rPr>
        <w:t xml:space="preserve"> 2014</w:t>
      </w:r>
      <w:r w:rsidRPr="00DD70E5">
        <w:rPr>
          <w:lang w:val="en-US"/>
        </w:rPr>
        <w:t xml:space="preserve"> </w:t>
      </w:r>
      <w:proofErr w:type="spellStart"/>
      <w:r w:rsidRPr="00DD70E5">
        <w:rPr>
          <w:lang w:val="en-US"/>
        </w:rPr>
        <w:t>lebih</w:t>
      </w:r>
      <w:proofErr w:type="spellEnd"/>
      <w:r w:rsidRPr="00DD70E5">
        <w:rPr>
          <w:lang w:val="en-US"/>
        </w:rPr>
        <w:t xml:space="preserve"> </w:t>
      </w:r>
      <w:proofErr w:type="spellStart"/>
      <w:r w:rsidRPr="00DD70E5">
        <w:rPr>
          <w:lang w:val="en-US"/>
        </w:rPr>
        <w:t>kecil</w:t>
      </w:r>
      <w:proofErr w:type="spellEnd"/>
      <w:r w:rsidRPr="00DD70E5">
        <w:rPr>
          <w:lang w:val="en-US"/>
        </w:rPr>
        <w:t xml:space="preserve"> </w:t>
      </w:r>
      <w:proofErr w:type="spellStart"/>
      <w:r w:rsidRPr="00DD70E5">
        <w:rPr>
          <w:lang w:val="en-US"/>
        </w:rPr>
        <w:t>dibandingkan</w:t>
      </w:r>
      <w:proofErr w:type="spellEnd"/>
      <w:r w:rsidRPr="00DD70E5">
        <w:rPr>
          <w:lang w:val="en-US"/>
        </w:rPr>
        <w:t xml:space="preserve"> </w:t>
      </w:r>
      <w:proofErr w:type="spellStart"/>
      <w:r w:rsidRPr="00DD70E5">
        <w:rPr>
          <w:lang w:val="en-US"/>
        </w:rPr>
        <w:t>dana</w:t>
      </w:r>
      <w:proofErr w:type="spellEnd"/>
      <w:r w:rsidRPr="00DD70E5">
        <w:rPr>
          <w:lang w:val="en-US"/>
        </w:rPr>
        <w:t xml:space="preserve"> </w:t>
      </w:r>
      <w:proofErr w:type="spellStart"/>
      <w:r w:rsidRPr="00DD70E5">
        <w:rPr>
          <w:lang w:val="en-US"/>
        </w:rPr>
        <w:t>perimbangan</w:t>
      </w:r>
      <w:proofErr w:type="spellEnd"/>
      <w:r w:rsidR="00623514">
        <w:rPr>
          <w:lang w:val="en-US"/>
        </w:rPr>
        <w:t>.</w:t>
      </w:r>
      <w:r w:rsidR="00AF263F">
        <w:rPr>
          <w:lang w:val="en-US"/>
        </w:rPr>
        <w:t xml:space="preserve"> </w:t>
      </w:r>
    </w:p>
    <w:p w:rsidR="00AD6DC3" w:rsidRPr="00AD6DC3" w:rsidRDefault="00AF263F" w:rsidP="00AD6DC3">
      <w:pPr>
        <w:spacing w:line="480" w:lineRule="auto"/>
        <w:ind w:left="360" w:firstLine="810"/>
        <w:jc w:val="both"/>
        <w:rPr>
          <w:lang w:val="en-US"/>
        </w:rPr>
      </w:pPr>
      <w:r>
        <w:rPr>
          <w:lang w:val="en-US"/>
        </w:rPr>
        <w:t xml:space="preserve">Yang </w:t>
      </w:r>
      <w:proofErr w:type="spellStart"/>
      <w:r>
        <w:rPr>
          <w:lang w:val="en-US"/>
        </w:rPr>
        <w:t>m</w:t>
      </w:r>
      <w:r w:rsidR="00B43354">
        <w:rPr>
          <w:lang w:val="en-US"/>
        </w:rPr>
        <w:t>enjadi</w:t>
      </w:r>
      <w:proofErr w:type="spellEnd"/>
      <w:r w:rsidR="00B43354">
        <w:rPr>
          <w:lang w:val="en-US"/>
        </w:rPr>
        <w:t xml:space="preserve"> </w:t>
      </w:r>
      <w:proofErr w:type="spellStart"/>
      <w:r w:rsidR="00B43354">
        <w:rPr>
          <w:lang w:val="en-US"/>
        </w:rPr>
        <w:t>masalah</w:t>
      </w:r>
      <w:proofErr w:type="spellEnd"/>
      <w:r w:rsidR="00B43354">
        <w:rPr>
          <w:lang w:val="en-US"/>
        </w:rPr>
        <w:t xml:space="preserve"> </w:t>
      </w:r>
      <w:proofErr w:type="spellStart"/>
      <w:r w:rsidR="00B43354">
        <w:rPr>
          <w:lang w:val="en-US"/>
        </w:rPr>
        <w:t>disini</w:t>
      </w:r>
      <w:proofErr w:type="spellEnd"/>
      <w:r w:rsidR="00B43354">
        <w:rPr>
          <w:lang w:val="en-US"/>
        </w:rPr>
        <w:t xml:space="preserve"> </w:t>
      </w:r>
      <w:proofErr w:type="spellStart"/>
      <w:r w:rsidR="00B43354">
        <w:rPr>
          <w:lang w:val="en-US"/>
        </w:rPr>
        <w:t>terletak</w:t>
      </w:r>
      <w:proofErr w:type="spellEnd"/>
      <w:r w:rsidR="00B43354">
        <w:rPr>
          <w:lang w:val="en-US"/>
        </w:rPr>
        <w:t xml:space="preserve"> </w:t>
      </w:r>
      <w:proofErr w:type="spellStart"/>
      <w:r w:rsidR="00B43354">
        <w:rPr>
          <w:lang w:val="en-US"/>
        </w:rPr>
        <w:t>pada</w:t>
      </w:r>
      <w:proofErr w:type="spellEnd"/>
      <w:r w:rsidR="009A34DA">
        <w:rPr>
          <w:lang w:val="en-US"/>
        </w:rPr>
        <w:t xml:space="preserve"> </w:t>
      </w:r>
      <w:proofErr w:type="spellStart"/>
      <w:r w:rsidR="009A34DA">
        <w:rPr>
          <w:lang w:val="en-US"/>
        </w:rPr>
        <w:t>penurunan</w:t>
      </w:r>
      <w:proofErr w:type="spellEnd"/>
      <w:r w:rsidR="009A34DA">
        <w:rPr>
          <w:lang w:val="en-US"/>
        </w:rPr>
        <w:t xml:space="preserve"> </w:t>
      </w:r>
      <w:proofErr w:type="spellStart"/>
      <w:r w:rsidR="009A34DA">
        <w:rPr>
          <w:lang w:val="en-US"/>
        </w:rPr>
        <w:t>indeks</w:t>
      </w:r>
      <w:proofErr w:type="spellEnd"/>
      <w:r w:rsidR="009A34DA">
        <w:rPr>
          <w:lang w:val="en-US"/>
        </w:rPr>
        <w:t xml:space="preserve"> PAD </w:t>
      </w:r>
      <w:proofErr w:type="spellStart"/>
      <w:r w:rsidR="009A34DA">
        <w:rPr>
          <w:lang w:val="en-US"/>
        </w:rPr>
        <w:t>pada</w:t>
      </w:r>
      <w:proofErr w:type="spellEnd"/>
      <w:r w:rsidR="009A34DA">
        <w:rPr>
          <w:lang w:val="en-US"/>
        </w:rPr>
        <w:t xml:space="preserve"> </w:t>
      </w:r>
      <w:proofErr w:type="spellStart"/>
      <w:r w:rsidR="009A34DA">
        <w:rPr>
          <w:lang w:val="en-US"/>
        </w:rPr>
        <w:t>tahun</w:t>
      </w:r>
      <w:proofErr w:type="spellEnd"/>
      <w:r w:rsidR="009A34DA">
        <w:rPr>
          <w:lang w:val="en-US"/>
        </w:rPr>
        <w:t xml:space="preserve"> 2013 </w:t>
      </w:r>
      <w:proofErr w:type="spellStart"/>
      <w:r w:rsidR="009A34DA">
        <w:rPr>
          <w:lang w:val="en-US"/>
        </w:rPr>
        <w:t>dan</w:t>
      </w:r>
      <w:proofErr w:type="spellEnd"/>
      <w:r w:rsidR="009A34DA">
        <w:rPr>
          <w:lang w:val="en-US"/>
        </w:rPr>
        <w:t xml:space="preserve"> </w:t>
      </w:r>
      <w:proofErr w:type="spellStart"/>
      <w:r w:rsidR="009A34DA">
        <w:rPr>
          <w:lang w:val="en-US"/>
        </w:rPr>
        <w:t>pada</w:t>
      </w:r>
      <w:proofErr w:type="spellEnd"/>
      <w:r w:rsidR="00B43354">
        <w:rPr>
          <w:lang w:val="en-US"/>
        </w:rPr>
        <w:t xml:space="preserve"> </w:t>
      </w:r>
      <w:proofErr w:type="spellStart"/>
      <w:proofErr w:type="gramStart"/>
      <w:r w:rsidR="00B43354">
        <w:rPr>
          <w:lang w:val="en-US"/>
        </w:rPr>
        <w:t>dana</w:t>
      </w:r>
      <w:proofErr w:type="spellEnd"/>
      <w:proofErr w:type="gramEnd"/>
      <w:r w:rsidR="00B43354">
        <w:rPr>
          <w:lang w:val="en-US"/>
        </w:rPr>
        <w:t xml:space="preserve"> </w:t>
      </w:r>
      <w:proofErr w:type="spellStart"/>
      <w:r w:rsidR="00B43354">
        <w:rPr>
          <w:lang w:val="en-US"/>
        </w:rPr>
        <w:t>perimbangan</w:t>
      </w:r>
      <w:proofErr w:type="spellEnd"/>
      <w:r w:rsidR="00B43354">
        <w:rPr>
          <w:lang w:val="en-US"/>
        </w:rPr>
        <w:t xml:space="preserve">. </w:t>
      </w:r>
      <w:proofErr w:type="spellStart"/>
      <w:r w:rsidR="00B43354">
        <w:rPr>
          <w:lang w:val="en-US"/>
        </w:rPr>
        <w:t>Jika</w:t>
      </w:r>
      <w:proofErr w:type="spellEnd"/>
      <w:r w:rsidR="00B43354">
        <w:rPr>
          <w:lang w:val="en-US"/>
        </w:rPr>
        <w:t xml:space="preserve"> </w:t>
      </w:r>
      <w:proofErr w:type="spellStart"/>
      <w:r w:rsidR="00B43354">
        <w:rPr>
          <w:lang w:val="en-US"/>
        </w:rPr>
        <w:t>dilihat</w:t>
      </w:r>
      <w:proofErr w:type="spellEnd"/>
      <w:r w:rsidR="00B43354">
        <w:rPr>
          <w:lang w:val="en-US"/>
        </w:rPr>
        <w:t xml:space="preserve"> </w:t>
      </w:r>
      <w:proofErr w:type="spellStart"/>
      <w:r w:rsidR="00B43354">
        <w:rPr>
          <w:lang w:val="en-US"/>
        </w:rPr>
        <w:t>dari</w:t>
      </w:r>
      <w:proofErr w:type="spellEnd"/>
      <w:r w:rsidR="00B43354">
        <w:rPr>
          <w:lang w:val="en-US"/>
        </w:rPr>
        <w:t xml:space="preserve"> </w:t>
      </w:r>
      <w:proofErr w:type="spellStart"/>
      <w:r w:rsidR="00B43354">
        <w:rPr>
          <w:lang w:val="en-US"/>
        </w:rPr>
        <w:t>indeks</w:t>
      </w:r>
      <w:proofErr w:type="spellEnd"/>
      <w:r w:rsidR="001548B5">
        <w:rPr>
          <w:lang w:val="en-US"/>
        </w:rPr>
        <w:t xml:space="preserve"> rata-</w:t>
      </w:r>
      <w:proofErr w:type="spellStart"/>
      <w:r w:rsidR="001548B5">
        <w:rPr>
          <w:lang w:val="en-US"/>
        </w:rPr>
        <w:t>ratanya</w:t>
      </w:r>
      <w:proofErr w:type="spellEnd"/>
      <w:r w:rsidR="00B43354">
        <w:rPr>
          <w:lang w:val="en-US"/>
        </w:rPr>
        <w:t xml:space="preserve"> </w:t>
      </w:r>
      <w:proofErr w:type="spellStart"/>
      <w:r>
        <w:rPr>
          <w:lang w:val="en-US"/>
        </w:rPr>
        <w:t>dana</w:t>
      </w:r>
      <w:proofErr w:type="spellEnd"/>
      <w:r>
        <w:rPr>
          <w:lang w:val="en-US"/>
        </w:rPr>
        <w:t xml:space="preserve"> </w:t>
      </w:r>
      <w:proofErr w:type="spellStart"/>
      <w:r>
        <w:rPr>
          <w:lang w:val="en-US"/>
        </w:rPr>
        <w:t>perimbangan</w:t>
      </w:r>
      <w:proofErr w:type="spellEnd"/>
      <w:r w:rsidR="00B43354">
        <w:rPr>
          <w:lang w:val="en-US"/>
        </w:rPr>
        <w:t xml:space="preserve"> </w:t>
      </w:r>
      <w:proofErr w:type="spellStart"/>
      <w:r w:rsidR="00B43354">
        <w:rPr>
          <w:lang w:val="en-US"/>
        </w:rPr>
        <w:t>memiliki</w:t>
      </w:r>
      <w:proofErr w:type="spellEnd"/>
      <w:r w:rsidR="00B43354">
        <w:rPr>
          <w:lang w:val="en-US"/>
        </w:rPr>
        <w:t xml:space="preserve"> </w:t>
      </w:r>
      <w:proofErr w:type="spellStart"/>
      <w:r w:rsidR="00B43354">
        <w:rPr>
          <w:lang w:val="en-US"/>
        </w:rPr>
        <w:t>persentase</w:t>
      </w:r>
      <w:proofErr w:type="spellEnd"/>
      <w:r w:rsidR="00B43354">
        <w:rPr>
          <w:lang w:val="en-US"/>
        </w:rPr>
        <w:t xml:space="preserve"> yang</w:t>
      </w:r>
      <w:r w:rsidR="0079197D">
        <w:rPr>
          <w:lang w:val="en-US"/>
        </w:rPr>
        <w:t xml:space="preserve"> </w:t>
      </w:r>
      <w:proofErr w:type="spellStart"/>
      <w:r w:rsidR="0079197D">
        <w:rPr>
          <w:lang w:val="en-US"/>
        </w:rPr>
        <w:t>lebih</w:t>
      </w:r>
      <w:proofErr w:type="spellEnd"/>
      <w:r w:rsidR="0079197D">
        <w:rPr>
          <w:lang w:val="en-US"/>
        </w:rPr>
        <w:t xml:space="preserve"> </w:t>
      </w:r>
      <w:proofErr w:type="spellStart"/>
      <w:r w:rsidR="0079197D">
        <w:rPr>
          <w:lang w:val="en-US"/>
        </w:rPr>
        <w:t>kecil</w:t>
      </w:r>
      <w:proofErr w:type="spellEnd"/>
      <w:r>
        <w:rPr>
          <w:lang w:val="en-US"/>
        </w:rPr>
        <w:t xml:space="preserve">, </w:t>
      </w:r>
      <w:proofErr w:type="spellStart"/>
      <w:r w:rsidR="002C7064">
        <w:rPr>
          <w:lang w:val="en-US"/>
        </w:rPr>
        <w:t>yaitu</w:t>
      </w:r>
      <w:proofErr w:type="spellEnd"/>
      <w:r w:rsidR="002C7064">
        <w:rPr>
          <w:lang w:val="en-US"/>
        </w:rPr>
        <w:t xml:space="preserve"> </w:t>
      </w:r>
      <w:proofErr w:type="spellStart"/>
      <w:r w:rsidR="002C7064">
        <w:rPr>
          <w:lang w:val="en-US"/>
        </w:rPr>
        <w:t>sebesar</w:t>
      </w:r>
      <w:proofErr w:type="spellEnd"/>
      <w:r w:rsidR="002C7064">
        <w:rPr>
          <w:lang w:val="en-US"/>
        </w:rPr>
        <w:t xml:space="preserve"> 112</w:t>
      </w:r>
      <w:proofErr w:type="gramStart"/>
      <w:r w:rsidR="0079197D">
        <w:rPr>
          <w:lang w:val="en-US"/>
        </w:rPr>
        <w:t>,2</w:t>
      </w:r>
      <w:proofErr w:type="gramEnd"/>
      <w:r w:rsidR="0079197D">
        <w:rPr>
          <w:lang w:val="en-US"/>
        </w:rPr>
        <w:t xml:space="preserve"> % </w:t>
      </w:r>
      <w:proofErr w:type="spellStart"/>
      <w:r w:rsidR="0079197D">
        <w:rPr>
          <w:lang w:val="en-US"/>
        </w:rPr>
        <w:t>pertahun</w:t>
      </w:r>
      <w:proofErr w:type="spellEnd"/>
      <w:r w:rsidR="0079197D">
        <w:rPr>
          <w:lang w:val="en-US"/>
        </w:rPr>
        <w:t xml:space="preserve">. </w:t>
      </w:r>
      <w:proofErr w:type="spellStart"/>
      <w:r w:rsidR="0079197D">
        <w:rPr>
          <w:lang w:val="en-US"/>
        </w:rPr>
        <w:t>Tidak</w:t>
      </w:r>
      <w:proofErr w:type="spellEnd"/>
      <w:r w:rsidR="0079197D">
        <w:rPr>
          <w:lang w:val="en-US"/>
        </w:rPr>
        <w:t xml:space="preserve"> </w:t>
      </w:r>
      <w:proofErr w:type="spellStart"/>
      <w:r w:rsidR="0079197D">
        <w:rPr>
          <w:lang w:val="en-US"/>
        </w:rPr>
        <w:t>hanya</w:t>
      </w:r>
      <w:proofErr w:type="spellEnd"/>
      <w:r w:rsidR="0079197D">
        <w:rPr>
          <w:lang w:val="en-US"/>
        </w:rPr>
        <w:t xml:space="preserve"> </w:t>
      </w:r>
      <w:proofErr w:type="spellStart"/>
      <w:r w:rsidR="0079197D">
        <w:rPr>
          <w:lang w:val="en-US"/>
        </w:rPr>
        <w:t>itu</w:t>
      </w:r>
      <w:proofErr w:type="spellEnd"/>
      <w:r w:rsidR="0079197D">
        <w:rPr>
          <w:lang w:val="en-US"/>
        </w:rPr>
        <w:t xml:space="preserve">, </w:t>
      </w:r>
      <w:proofErr w:type="spellStart"/>
      <w:r w:rsidR="0079197D">
        <w:rPr>
          <w:lang w:val="en-US"/>
        </w:rPr>
        <w:t>jika</w:t>
      </w:r>
      <w:proofErr w:type="spellEnd"/>
      <w:r w:rsidR="0079197D">
        <w:rPr>
          <w:lang w:val="en-US"/>
        </w:rPr>
        <w:t xml:space="preserve"> </w:t>
      </w:r>
      <w:proofErr w:type="spellStart"/>
      <w:r w:rsidR="0079197D">
        <w:rPr>
          <w:lang w:val="en-US"/>
        </w:rPr>
        <w:t>dibandingkan</w:t>
      </w:r>
      <w:proofErr w:type="spellEnd"/>
      <w:r w:rsidR="0079197D">
        <w:rPr>
          <w:lang w:val="en-US"/>
        </w:rPr>
        <w:t xml:space="preserve"> </w:t>
      </w:r>
      <w:proofErr w:type="spellStart"/>
      <w:r w:rsidR="0079197D">
        <w:rPr>
          <w:lang w:val="en-US"/>
        </w:rPr>
        <w:t>denga</w:t>
      </w:r>
      <w:proofErr w:type="spellEnd"/>
      <w:r w:rsidR="0079197D">
        <w:rPr>
          <w:lang w:val="en-US"/>
        </w:rPr>
        <w:t xml:space="preserve"> rata-rata </w:t>
      </w:r>
      <w:proofErr w:type="spellStart"/>
      <w:r w:rsidR="0079197D">
        <w:rPr>
          <w:lang w:val="en-US"/>
        </w:rPr>
        <w:t>indeks</w:t>
      </w:r>
      <w:proofErr w:type="spellEnd"/>
      <w:r w:rsidR="0079197D">
        <w:rPr>
          <w:lang w:val="en-US"/>
        </w:rPr>
        <w:t xml:space="preserve"> </w:t>
      </w:r>
      <w:proofErr w:type="spellStart"/>
      <w:r w:rsidR="0079197D">
        <w:rPr>
          <w:lang w:val="en-US"/>
        </w:rPr>
        <w:t>keduanya</w:t>
      </w:r>
      <w:proofErr w:type="spellEnd"/>
      <w:r w:rsidR="0079197D">
        <w:rPr>
          <w:lang w:val="en-US"/>
        </w:rPr>
        <w:t xml:space="preserve"> (</w:t>
      </w:r>
      <w:proofErr w:type="spellStart"/>
      <w:r w:rsidR="0079197D">
        <w:rPr>
          <w:lang w:val="en-US"/>
        </w:rPr>
        <w:t>pendapatan</w:t>
      </w:r>
      <w:proofErr w:type="spellEnd"/>
      <w:r w:rsidR="0079197D">
        <w:rPr>
          <w:lang w:val="en-US"/>
        </w:rPr>
        <w:t xml:space="preserve"> </w:t>
      </w:r>
      <w:proofErr w:type="spellStart"/>
      <w:r w:rsidR="0079197D">
        <w:rPr>
          <w:lang w:val="en-US"/>
        </w:rPr>
        <w:t>asli</w:t>
      </w:r>
      <w:proofErr w:type="spellEnd"/>
      <w:r w:rsidR="0079197D">
        <w:rPr>
          <w:lang w:val="en-US"/>
        </w:rPr>
        <w:t xml:space="preserve"> </w:t>
      </w:r>
      <w:proofErr w:type="spellStart"/>
      <w:r w:rsidR="0079197D">
        <w:rPr>
          <w:lang w:val="en-US"/>
        </w:rPr>
        <w:t>daerah</w:t>
      </w:r>
      <w:proofErr w:type="spellEnd"/>
      <w:r w:rsidR="0079197D">
        <w:rPr>
          <w:lang w:val="en-US"/>
        </w:rPr>
        <w:t xml:space="preserve"> </w:t>
      </w:r>
      <w:proofErr w:type="spellStart"/>
      <w:r w:rsidR="0079197D">
        <w:rPr>
          <w:lang w:val="en-US"/>
        </w:rPr>
        <w:t>dan</w:t>
      </w:r>
      <w:proofErr w:type="spellEnd"/>
      <w:r w:rsidR="0079197D">
        <w:rPr>
          <w:lang w:val="en-US"/>
        </w:rPr>
        <w:t xml:space="preserve"> </w:t>
      </w:r>
      <w:proofErr w:type="spellStart"/>
      <w:r w:rsidR="0079197D">
        <w:rPr>
          <w:lang w:val="en-US"/>
        </w:rPr>
        <w:t>dana</w:t>
      </w:r>
      <w:proofErr w:type="spellEnd"/>
      <w:r w:rsidR="0079197D">
        <w:rPr>
          <w:lang w:val="en-US"/>
        </w:rPr>
        <w:t xml:space="preserve"> </w:t>
      </w:r>
      <w:proofErr w:type="spellStart"/>
      <w:r w:rsidR="0079197D">
        <w:rPr>
          <w:lang w:val="en-US"/>
        </w:rPr>
        <w:t>perimbangan</w:t>
      </w:r>
      <w:proofErr w:type="spellEnd"/>
      <w:r w:rsidR="0079197D">
        <w:rPr>
          <w:lang w:val="en-US"/>
        </w:rPr>
        <w:t>)</w:t>
      </w:r>
      <w:r w:rsidR="000B3CE7">
        <w:rPr>
          <w:lang w:val="en-US"/>
        </w:rPr>
        <w:t xml:space="preserve"> </w:t>
      </w:r>
      <w:proofErr w:type="spellStart"/>
      <w:r w:rsidR="000B3CE7">
        <w:rPr>
          <w:lang w:val="en-US"/>
        </w:rPr>
        <w:t>yaitu</w:t>
      </w:r>
      <w:proofErr w:type="spellEnd"/>
      <w:r w:rsidR="000B3CE7">
        <w:rPr>
          <w:lang w:val="en-US"/>
        </w:rPr>
        <w:t xml:space="preserve"> </w:t>
      </w:r>
      <w:proofErr w:type="spellStart"/>
      <w:r w:rsidR="000B3CE7">
        <w:rPr>
          <w:lang w:val="en-US"/>
        </w:rPr>
        <w:t>sebesar</w:t>
      </w:r>
      <w:proofErr w:type="spellEnd"/>
      <w:r w:rsidR="000B3CE7">
        <w:rPr>
          <w:lang w:val="en-US"/>
        </w:rPr>
        <w:t xml:space="preserve"> 113</w:t>
      </w:r>
      <w:proofErr w:type="gramStart"/>
      <w:r w:rsidR="000B3CE7">
        <w:rPr>
          <w:lang w:val="en-US"/>
        </w:rPr>
        <w:t>,4</w:t>
      </w:r>
      <w:proofErr w:type="gramEnd"/>
      <w:r w:rsidR="000B3CE7">
        <w:rPr>
          <w:lang w:val="en-US"/>
        </w:rPr>
        <w:t xml:space="preserve"> </w:t>
      </w:r>
      <w:r w:rsidR="00285A9A">
        <w:rPr>
          <w:lang w:val="en-US"/>
        </w:rPr>
        <w:t>%</w:t>
      </w:r>
      <w:r w:rsidR="0079197D">
        <w:rPr>
          <w:lang w:val="en-US"/>
        </w:rPr>
        <w:t xml:space="preserve">, </w:t>
      </w:r>
      <w:proofErr w:type="spellStart"/>
      <w:r w:rsidR="000B3CE7">
        <w:rPr>
          <w:lang w:val="en-US"/>
        </w:rPr>
        <w:t>indeks</w:t>
      </w:r>
      <w:proofErr w:type="spellEnd"/>
      <w:r w:rsidR="000B3CE7">
        <w:rPr>
          <w:lang w:val="en-US"/>
        </w:rPr>
        <w:t xml:space="preserve"> </w:t>
      </w:r>
      <w:proofErr w:type="spellStart"/>
      <w:r w:rsidR="0079197D">
        <w:rPr>
          <w:lang w:val="en-US"/>
        </w:rPr>
        <w:t>dana</w:t>
      </w:r>
      <w:proofErr w:type="spellEnd"/>
      <w:r w:rsidR="0079197D">
        <w:rPr>
          <w:lang w:val="en-US"/>
        </w:rPr>
        <w:t xml:space="preserve"> </w:t>
      </w:r>
      <w:proofErr w:type="spellStart"/>
      <w:r w:rsidR="0079197D">
        <w:rPr>
          <w:lang w:val="en-US"/>
        </w:rPr>
        <w:t>perimbangan</w:t>
      </w:r>
      <w:proofErr w:type="spellEnd"/>
      <w:r w:rsidR="0079197D">
        <w:rPr>
          <w:lang w:val="en-US"/>
        </w:rPr>
        <w:t xml:space="preserve"> </w:t>
      </w:r>
      <w:proofErr w:type="spellStart"/>
      <w:r w:rsidR="00285A9A">
        <w:rPr>
          <w:lang w:val="en-US"/>
        </w:rPr>
        <w:t>masih</w:t>
      </w:r>
      <w:proofErr w:type="spellEnd"/>
      <w:r w:rsidR="00285A9A">
        <w:rPr>
          <w:lang w:val="en-US"/>
        </w:rPr>
        <w:t xml:space="preserve"> </w:t>
      </w:r>
      <w:proofErr w:type="spellStart"/>
      <w:r w:rsidR="0079197D">
        <w:rPr>
          <w:lang w:val="en-US"/>
        </w:rPr>
        <w:t>tetap</w:t>
      </w:r>
      <w:proofErr w:type="spellEnd"/>
      <w:r w:rsidR="0079197D">
        <w:rPr>
          <w:lang w:val="en-US"/>
        </w:rPr>
        <w:t xml:space="preserve"> </w:t>
      </w:r>
      <w:proofErr w:type="spellStart"/>
      <w:r w:rsidR="0079197D">
        <w:rPr>
          <w:lang w:val="en-US"/>
        </w:rPr>
        <w:t>memiliki</w:t>
      </w:r>
      <w:proofErr w:type="spellEnd"/>
      <w:r w:rsidR="0079197D">
        <w:rPr>
          <w:lang w:val="en-US"/>
        </w:rPr>
        <w:t xml:space="preserve"> </w:t>
      </w:r>
      <w:proofErr w:type="spellStart"/>
      <w:r w:rsidR="0079197D">
        <w:rPr>
          <w:lang w:val="en-US"/>
        </w:rPr>
        <w:t>persentase</w:t>
      </w:r>
      <w:proofErr w:type="spellEnd"/>
      <w:r w:rsidR="0079197D">
        <w:rPr>
          <w:lang w:val="en-US"/>
        </w:rPr>
        <w:t xml:space="preserve"> yang </w:t>
      </w:r>
      <w:proofErr w:type="spellStart"/>
      <w:r w:rsidR="00551B1B">
        <w:rPr>
          <w:lang w:val="en-US"/>
        </w:rPr>
        <w:t>l</w:t>
      </w:r>
      <w:r w:rsidR="00285A9A">
        <w:rPr>
          <w:lang w:val="en-US"/>
        </w:rPr>
        <w:t>ebih</w:t>
      </w:r>
      <w:proofErr w:type="spellEnd"/>
      <w:r w:rsidR="00285A9A">
        <w:rPr>
          <w:lang w:val="en-US"/>
        </w:rPr>
        <w:t xml:space="preserve"> </w:t>
      </w:r>
      <w:proofErr w:type="spellStart"/>
      <w:r w:rsidR="00285A9A">
        <w:rPr>
          <w:lang w:val="en-US"/>
        </w:rPr>
        <w:t>rendah</w:t>
      </w:r>
      <w:proofErr w:type="spellEnd"/>
      <w:r w:rsidR="00285A9A">
        <w:rPr>
          <w:lang w:val="en-US"/>
        </w:rPr>
        <w:t xml:space="preserve">. </w:t>
      </w:r>
      <w:proofErr w:type="spellStart"/>
      <w:r w:rsidR="00285A9A">
        <w:rPr>
          <w:lang w:val="en-US"/>
        </w:rPr>
        <w:t>S</w:t>
      </w:r>
      <w:r w:rsidR="0079197D">
        <w:rPr>
          <w:lang w:val="en-US"/>
        </w:rPr>
        <w:t>edangkan</w:t>
      </w:r>
      <w:proofErr w:type="spellEnd"/>
      <w:r w:rsidR="0079197D">
        <w:rPr>
          <w:lang w:val="en-US"/>
        </w:rPr>
        <w:t xml:space="preserve"> </w:t>
      </w:r>
      <w:proofErr w:type="spellStart"/>
      <w:r w:rsidR="0079197D">
        <w:rPr>
          <w:lang w:val="en-US"/>
        </w:rPr>
        <w:t>dlihat</w:t>
      </w:r>
      <w:proofErr w:type="spellEnd"/>
      <w:r w:rsidR="0079197D">
        <w:rPr>
          <w:lang w:val="en-US"/>
        </w:rPr>
        <w:t xml:space="preserve"> </w:t>
      </w:r>
      <w:proofErr w:type="spellStart"/>
      <w:r w:rsidR="0079197D">
        <w:rPr>
          <w:lang w:val="en-US"/>
        </w:rPr>
        <w:t>dari</w:t>
      </w:r>
      <w:proofErr w:type="spellEnd"/>
      <w:r w:rsidR="00F2037F">
        <w:rPr>
          <w:lang w:val="en-US"/>
        </w:rPr>
        <w:t xml:space="preserve"> </w:t>
      </w:r>
      <w:proofErr w:type="spellStart"/>
      <w:r w:rsidR="00F2037F">
        <w:rPr>
          <w:lang w:val="en-US"/>
        </w:rPr>
        <w:t>alokasi</w:t>
      </w:r>
      <w:proofErr w:type="spellEnd"/>
      <w:r w:rsidR="0079197D">
        <w:rPr>
          <w:lang w:val="en-US"/>
        </w:rPr>
        <w:t xml:space="preserve"> </w:t>
      </w:r>
      <w:proofErr w:type="spellStart"/>
      <w:r w:rsidR="0079197D">
        <w:rPr>
          <w:lang w:val="en-US"/>
        </w:rPr>
        <w:t>nominalnya</w:t>
      </w:r>
      <w:proofErr w:type="spellEnd"/>
      <w:r w:rsidR="0079197D">
        <w:rPr>
          <w:lang w:val="en-US"/>
        </w:rPr>
        <w:t xml:space="preserve"> </w:t>
      </w:r>
      <w:proofErr w:type="spellStart"/>
      <w:proofErr w:type="gramStart"/>
      <w:r w:rsidR="0079197D">
        <w:rPr>
          <w:lang w:val="en-US"/>
        </w:rPr>
        <w:t>dana</w:t>
      </w:r>
      <w:proofErr w:type="spellEnd"/>
      <w:proofErr w:type="gramEnd"/>
      <w:r w:rsidR="0079197D">
        <w:rPr>
          <w:lang w:val="en-US"/>
        </w:rPr>
        <w:t xml:space="preserve"> </w:t>
      </w:r>
      <w:proofErr w:type="spellStart"/>
      <w:r w:rsidR="0079197D">
        <w:rPr>
          <w:lang w:val="en-US"/>
        </w:rPr>
        <w:t>perimbangan</w:t>
      </w:r>
      <w:proofErr w:type="spellEnd"/>
      <w:r w:rsidR="0079197D">
        <w:rPr>
          <w:lang w:val="en-US"/>
        </w:rPr>
        <w:t xml:space="preserve"> </w:t>
      </w:r>
      <w:proofErr w:type="spellStart"/>
      <w:r w:rsidR="0079197D">
        <w:rPr>
          <w:lang w:val="en-US"/>
        </w:rPr>
        <w:t>memberikan</w:t>
      </w:r>
      <w:proofErr w:type="spellEnd"/>
      <w:r w:rsidR="0079197D">
        <w:rPr>
          <w:lang w:val="en-US"/>
        </w:rPr>
        <w:t xml:space="preserve"> </w:t>
      </w:r>
      <w:proofErr w:type="spellStart"/>
      <w:r w:rsidR="0079197D">
        <w:rPr>
          <w:lang w:val="en-US"/>
        </w:rPr>
        <w:t>sumbangsih</w:t>
      </w:r>
      <w:proofErr w:type="spellEnd"/>
      <w:r w:rsidR="0079197D">
        <w:rPr>
          <w:lang w:val="en-US"/>
        </w:rPr>
        <w:t xml:space="preserve"> yang </w:t>
      </w:r>
      <w:proofErr w:type="spellStart"/>
      <w:r w:rsidR="0079197D">
        <w:rPr>
          <w:lang w:val="en-US"/>
        </w:rPr>
        <w:t>lebih</w:t>
      </w:r>
      <w:proofErr w:type="spellEnd"/>
      <w:r w:rsidR="0079197D">
        <w:rPr>
          <w:lang w:val="en-US"/>
        </w:rPr>
        <w:t xml:space="preserve"> </w:t>
      </w:r>
      <w:proofErr w:type="spellStart"/>
      <w:r w:rsidR="0079197D">
        <w:rPr>
          <w:lang w:val="en-US"/>
        </w:rPr>
        <w:t>besar</w:t>
      </w:r>
      <w:proofErr w:type="spellEnd"/>
      <w:r w:rsidR="0079197D">
        <w:rPr>
          <w:lang w:val="en-US"/>
        </w:rPr>
        <w:t xml:space="preserve"> </w:t>
      </w:r>
      <w:proofErr w:type="spellStart"/>
      <w:r w:rsidR="00285A9A">
        <w:rPr>
          <w:lang w:val="en-US"/>
        </w:rPr>
        <w:t>terhadap</w:t>
      </w:r>
      <w:proofErr w:type="spellEnd"/>
      <w:r w:rsidR="00285A9A">
        <w:rPr>
          <w:lang w:val="en-US"/>
        </w:rPr>
        <w:t xml:space="preserve"> </w:t>
      </w:r>
      <w:proofErr w:type="spellStart"/>
      <w:r w:rsidR="00285A9A">
        <w:rPr>
          <w:lang w:val="en-US"/>
        </w:rPr>
        <w:t>belanja</w:t>
      </w:r>
      <w:proofErr w:type="spellEnd"/>
      <w:r w:rsidR="00285A9A">
        <w:rPr>
          <w:lang w:val="en-US"/>
        </w:rPr>
        <w:t xml:space="preserve"> </w:t>
      </w:r>
      <w:proofErr w:type="spellStart"/>
      <w:r w:rsidR="00285A9A">
        <w:rPr>
          <w:lang w:val="en-US"/>
        </w:rPr>
        <w:t>daerah</w:t>
      </w:r>
      <w:proofErr w:type="spellEnd"/>
      <w:r w:rsidR="00B43354">
        <w:rPr>
          <w:lang w:val="en-US"/>
        </w:rPr>
        <w:t xml:space="preserve">. </w:t>
      </w:r>
      <w:proofErr w:type="spellStart"/>
      <w:r w:rsidR="005C5240" w:rsidRPr="00DD70E5">
        <w:rPr>
          <w:lang w:val="en-US"/>
        </w:rPr>
        <w:t>Jadi</w:t>
      </w:r>
      <w:proofErr w:type="spellEnd"/>
      <w:r w:rsidR="005C5240" w:rsidRPr="00DD70E5">
        <w:rPr>
          <w:lang w:val="en-US"/>
        </w:rPr>
        <w:t xml:space="preserve"> </w:t>
      </w:r>
      <w:proofErr w:type="spellStart"/>
      <w:r w:rsidR="005C5240" w:rsidRPr="00DD70E5">
        <w:rPr>
          <w:lang w:val="en-US"/>
        </w:rPr>
        <w:t>sumbangan</w:t>
      </w:r>
      <w:proofErr w:type="spellEnd"/>
      <w:r w:rsidR="005C5240" w:rsidRPr="00DD70E5">
        <w:rPr>
          <w:lang w:val="en-US"/>
        </w:rPr>
        <w:t xml:space="preserve"> </w:t>
      </w:r>
      <w:proofErr w:type="spellStart"/>
      <w:r w:rsidR="005C5240" w:rsidRPr="00DD70E5">
        <w:rPr>
          <w:lang w:val="en-US"/>
        </w:rPr>
        <w:t>antara</w:t>
      </w:r>
      <w:proofErr w:type="spellEnd"/>
      <w:r w:rsidR="005C5240" w:rsidRPr="00DD70E5">
        <w:rPr>
          <w:lang w:val="en-US"/>
        </w:rPr>
        <w:t xml:space="preserve"> PAD </w:t>
      </w:r>
      <w:proofErr w:type="spellStart"/>
      <w:r w:rsidR="005C5240" w:rsidRPr="00DD70E5">
        <w:rPr>
          <w:lang w:val="en-US"/>
        </w:rPr>
        <w:t>dan</w:t>
      </w:r>
      <w:proofErr w:type="spellEnd"/>
      <w:r w:rsidR="005C5240" w:rsidRPr="00DD70E5">
        <w:rPr>
          <w:lang w:val="en-US"/>
        </w:rPr>
        <w:t xml:space="preserve"> </w:t>
      </w:r>
      <w:proofErr w:type="spellStart"/>
      <w:proofErr w:type="gramStart"/>
      <w:r w:rsidR="005C5240" w:rsidRPr="00DD70E5">
        <w:rPr>
          <w:lang w:val="en-US"/>
        </w:rPr>
        <w:t>dan</w:t>
      </w:r>
      <w:r w:rsidR="00D21BFC" w:rsidRPr="00DD70E5">
        <w:rPr>
          <w:lang w:val="en-US"/>
        </w:rPr>
        <w:t>a</w:t>
      </w:r>
      <w:proofErr w:type="spellEnd"/>
      <w:proofErr w:type="gramEnd"/>
      <w:r w:rsidR="00D21BFC" w:rsidRPr="00DD70E5">
        <w:rPr>
          <w:lang w:val="en-US"/>
        </w:rPr>
        <w:t xml:space="preserve"> </w:t>
      </w:r>
      <w:proofErr w:type="spellStart"/>
      <w:r w:rsidR="00D21BFC" w:rsidRPr="00DD70E5">
        <w:rPr>
          <w:lang w:val="en-US"/>
        </w:rPr>
        <w:t>perimbangan</w:t>
      </w:r>
      <w:proofErr w:type="spellEnd"/>
      <w:r w:rsidR="00D21BFC" w:rsidRPr="00DD70E5">
        <w:rPr>
          <w:lang w:val="en-US"/>
        </w:rPr>
        <w:t xml:space="preserve"> </w:t>
      </w:r>
      <w:proofErr w:type="spellStart"/>
      <w:r w:rsidR="00D21BFC" w:rsidRPr="00DD70E5">
        <w:rPr>
          <w:lang w:val="en-US"/>
        </w:rPr>
        <w:t>t</w:t>
      </w:r>
      <w:r w:rsidR="005C5240" w:rsidRPr="00DD70E5">
        <w:rPr>
          <w:lang w:val="en-US"/>
        </w:rPr>
        <w:t>erhadap</w:t>
      </w:r>
      <w:proofErr w:type="spellEnd"/>
      <w:r w:rsidR="005C5240" w:rsidRPr="00DD70E5">
        <w:rPr>
          <w:lang w:val="en-US"/>
        </w:rPr>
        <w:t xml:space="preserve"> </w:t>
      </w:r>
      <w:proofErr w:type="spellStart"/>
      <w:r w:rsidR="005C5240" w:rsidRPr="00DD70E5">
        <w:rPr>
          <w:lang w:val="en-US"/>
        </w:rPr>
        <w:t>belanja</w:t>
      </w:r>
      <w:proofErr w:type="spellEnd"/>
      <w:r w:rsidR="005C5240" w:rsidRPr="00DD70E5">
        <w:rPr>
          <w:lang w:val="en-US"/>
        </w:rPr>
        <w:t xml:space="preserve"> </w:t>
      </w:r>
      <w:proofErr w:type="spellStart"/>
      <w:r w:rsidR="005C5240" w:rsidRPr="00DD70E5">
        <w:rPr>
          <w:lang w:val="en-US"/>
        </w:rPr>
        <w:t>daerah</w:t>
      </w:r>
      <w:proofErr w:type="spellEnd"/>
      <w:r w:rsidR="005C5240" w:rsidRPr="00DD70E5">
        <w:rPr>
          <w:lang w:val="en-US"/>
        </w:rPr>
        <w:t xml:space="preserve"> </w:t>
      </w:r>
      <w:proofErr w:type="spellStart"/>
      <w:r w:rsidR="005C5240" w:rsidRPr="00DD70E5">
        <w:rPr>
          <w:lang w:val="en-US"/>
        </w:rPr>
        <w:t>cenderung</w:t>
      </w:r>
      <w:proofErr w:type="spellEnd"/>
      <w:r w:rsidR="005C5240" w:rsidRPr="00DD70E5">
        <w:rPr>
          <w:lang w:val="en-US"/>
        </w:rPr>
        <w:t xml:space="preserve"> </w:t>
      </w:r>
      <w:proofErr w:type="spellStart"/>
      <w:r w:rsidR="005C5240" w:rsidRPr="00DD70E5">
        <w:rPr>
          <w:lang w:val="en-US"/>
        </w:rPr>
        <w:t>lebih</w:t>
      </w:r>
      <w:proofErr w:type="spellEnd"/>
      <w:r w:rsidR="005C5240" w:rsidRPr="00DD70E5">
        <w:rPr>
          <w:lang w:val="en-US"/>
        </w:rPr>
        <w:t xml:space="preserve"> </w:t>
      </w:r>
      <w:proofErr w:type="spellStart"/>
      <w:r w:rsidR="005C5240" w:rsidRPr="00DD70E5">
        <w:rPr>
          <w:lang w:val="en-US"/>
        </w:rPr>
        <w:t>dominan</w:t>
      </w:r>
      <w:proofErr w:type="spellEnd"/>
      <w:r w:rsidR="005C5240" w:rsidRPr="00DD70E5">
        <w:rPr>
          <w:lang w:val="en-US"/>
        </w:rPr>
        <w:t xml:space="preserve"> </w:t>
      </w:r>
      <w:proofErr w:type="spellStart"/>
      <w:r w:rsidR="005C5240" w:rsidRPr="00DD70E5">
        <w:rPr>
          <w:lang w:val="en-US"/>
        </w:rPr>
        <w:t>dipengaruhi</w:t>
      </w:r>
      <w:proofErr w:type="spellEnd"/>
      <w:r w:rsidR="005C5240" w:rsidRPr="00DD70E5">
        <w:rPr>
          <w:lang w:val="en-US"/>
        </w:rPr>
        <w:t xml:space="preserve"> </w:t>
      </w:r>
      <w:proofErr w:type="spellStart"/>
      <w:r w:rsidR="005C5240" w:rsidRPr="00DD70E5">
        <w:rPr>
          <w:lang w:val="en-US"/>
        </w:rPr>
        <w:t>oleh</w:t>
      </w:r>
      <w:proofErr w:type="spellEnd"/>
      <w:r w:rsidR="005C5240" w:rsidRPr="00DD70E5">
        <w:rPr>
          <w:lang w:val="en-US"/>
        </w:rPr>
        <w:t xml:space="preserve"> </w:t>
      </w:r>
      <w:proofErr w:type="spellStart"/>
      <w:r w:rsidR="005C5240" w:rsidRPr="00DD70E5">
        <w:rPr>
          <w:lang w:val="en-US"/>
        </w:rPr>
        <w:t>dana</w:t>
      </w:r>
      <w:proofErr w:type="spellEnd"/>
      <w:r w:rsidR="005C5240" w:rsidRPr="00DD70E5">
        <w:rPr>
          <w:lang w:val="en-US"/>
        </w:rPr>
        <w:t xml:space="preserve"> </w:t>
      </w:r>
      <w:proofErr w:type="spellStart"/>
      <w:r w:rsidR="005C5240" w:rsidRPr="00DD70E5">
        <w:rPr>
          <w:lang w:val="en-US"/>
        </w:rPr>
        <w:t>perimbangan</w:t>
      </w:r>
      <w:proofErr w:type="spellEnd"/>
      <w:r w:rsidR="005C5240" w:rsidRPr="00DD70E5">
        <w:rPr>
          <w:lang w:val="en-US"/>
        </w:rPr>
        <w:t>.</w:t>
      </w:r>
      <w:r w:rsidR="00D21BFC" w:rsidRPr="00DD70E5">
        <w:rPr>
          <w:lang w:val="en-US"/>
        </w:rPr>
        <w:t xml:space="preserve"> </w:t>
      </w:r>
    </w:p>
    <w:p w:rsidR="00821220" w:rsidRDefault="000552B3" w:rsidP="00880262">
      <w:pPr>
        <w:spacing w:line="360" w:lineRule="auto"/>
        <w:ind w:left="360" w:firstLine="810"/>
        <w:rPr>
          <w:b/>
          <w:lang w:val="en-US"/>
        </w:rPr>
      </w:pPr>
      <w:r>
        <w:rPr>
          <w:b/>
          <w:lang w:val="en-US"/>
        </w:rPr>
        <w:t xml:space="preserve">                                         </w:t>
      </w:r>
      <w:r w:rsidR="00FD4C0F">
        <w:rPr>
          <w:b/>
          <w:lang w:val="en-US"/>
        </w:rPr>
        <w:t xml:space="preserve">   </w:t>
      </w:r>
      <w:proofErr w:type="spellStart"/>
      <w:r w:rsidR="0025460E">
        <w:rPr>
          <w:b/>
          <w:lang w:val="en-US"/>
        </w:rPr>
        <w:t>Tabel</w:t>
      </w:r>
      <w:proofErr w:type="spellEnd"/>
      <w:r w:rsidR="0025460E">
        <w:rPr>
          <w:b/>
          <w:lang w:val="en-US"/>
        </w:rPr>
        <w:t xml:space="preserve"> </w:t>
      </w:r>
      <w:r w:rsidR="00AF47B7">
        <w:rPr>
          <w:b/>
          <w:lang w:val="en-US"/>
        </w:rPr>
        <w:t>1.</w:t>
      </w:r>
      <w:r w:rsidR="00821220" w:rsidRPr="00821220">
        <w:rPr>
          <w:b/>
          <w:lang w:val="en-US"/>
        </w:rPr>
        <w:t>3</w:t>
      </w:r>
    </w:p>
    <w:p w:rsidR="00AD6DC3" w:rsidRPr="00AD6DC3" w:rsidRDefault="00AD6DC3" w:rsidP="00AD6DC3">
      <w:pPr>
        <w:spacing w:line="360" w:lineRule="auto"/>
        <w:jc w:val="center"/>
        <w:rPr>
          <w:i/>
          <w:lang w:val="en-US"/>
        </w:rPr>
      </w:pPr>
      <w:proofErr w:type="spellStart"/>
      <w:r w:rsidRPr="00FD4C0F">
        <w:rPr>
          <w:b/>
          <w:lang w:val="en-US"/>
        </w:rPr>
        <w:t>Indeks</w:t>
      </w:r>
      <w:proofErr w:type="spellEnd"/>
      <w:r w:rsidRPr="00FD4C0F">
        <w:rPr>
          <w:b/>
          <w:lang w:val="en-US"/>
        </w:rPr>
        <w:t xml:space="preserve"> PAD </w:t>
      </w:r>
      <w:proofErr w:type="spellStart"/>
      <w:r w:rsidRPr="00FD4C0F">
        <w:rPr>
          <w:b/>
          <w:lang w:val="en-US"/>
        </w:rPr>
        <w:t>dan</w:t>
      </w:r>
      <w:proofErr w:type="spellEnd"/>
      <w:r w:rsidRPr="00FD4C0F">
        <w:rPr>
          <w:b/>
          <w:lang w:val="en-US"/>
        </w:rPr>
        <w:t xml:space="preserve"> Dana </w:t>
      </w:r>
      <w:proofErr w:type="spellStart"/>
      <w:r w:rsidRPr="00FD4C0F">
        <w:rPr>
          <w:b/>
          <w:lang w:val="en-US"/>
        </w:rPr>
        <w:t>Perimbangan</w:t>
      </w:r>
      <w:proofErr w:type="spellEnd"/>
      <w:r w:rsidRPr="00FD4C0F">
        <w:rPr>
          <w:b/>
          <w:lang w:val="en-US"/>
        </w:rPr>
        <w:t xml:space="preserve"> </w:t>
      </w:r>
      <w:proofErr w:type="spellStart"/>
      <w:r w:rsidRPr="00FD4C0F">
        <w:rPr>
          <w:b/>
          <w:lang w:val="en-US"/>
        </w:rPr>
        <w:t>terhadap</w:t>
      </w:r>
      <w:proofErr w:type="spellEnd"/>
      <w:r w:rsidRPr="00FD4C0F">
        <w:rPr>
          <w:b/>
          <w:lang w:val="en-US"/>
        </w:rPr>
        <w:t xml:space="preserve"> </w:t>
      </w:r>
      <w:proofErr w:type="spellStart"/>
      <w:r w:rsidRPr="00FD4C0F">
        <w:rPr>
          <w:b/>
          <w:lang w:val="en-US"/>
        </w:rPr>
        <w:t>Belanja</w:t>
      </w:r>
      <w:proofErr w:type="spellEnd"/>
      <w:r w:rsidRPr="00FD4C0F">
        <w:rPr>
          <w:b/>
          <w:lang w:val="en-US"/>
        </w:rPr>
        <w:t xml:space="preserve"> Daerah    </w:t>
      </w:r>
      <w:proofErr w:type="spellStart"/>
      <w:r w:rsidRPr="00FD4C0F">
        <w:rPr>
          <w:b/>
          <w:lang w:val="en-US"/>
        </w:rPr>
        <w:t>Kabupaten</w:t>
      </w:r>
      <w:proofErr w:type="spellEnd"/>
      <w:r w:rsidRPr="00FD4C0F">
        <w:rPr>
          <w:b/>
          <w:lang w:val="en-US"/>
        </w:rPr>
        <w:t xml:space="preserve">/Kota di Sumatera Barat </w:t>
      </w:r>
      <w:proofErr w:type="spellStart"/>
      <w:r w:rsidRPr="00FD4C0F">
        <w:rPr>
          <w:b/>
          <w:lang w:val="en-US"/>
        </w:rPr>
        <w:t>Periode</w:t>
      </w:r>
      <w:proofErr w:type="spellEnd"/>
      <w:r w:rsidRPr="00FD4C0F">
        <w:rPr>
          <w:b/>
          <w:lang w:val="en-US"/>
        </w:rPr>
        <w:t xml:space="preserve"> 2010-2014</w:t>
      </w:r>
    </w:p>
    <w:tbl>
      <w:tblPr>
        <w:tblW w:w="10335" w:type="dxa"/>
        <w:jc w:val="center"/>
        <w:tblLook w:val="04A0" w:firstRow="1" w:lastRow="0" w:firstColumn="1" w:lastColumn="0" w:noHBand="0" w:noVBand="1"/>
      </w:tblPr>
      <w:tblGrid>
        <w:gridCol w:w="843"/>
        <w:gridCol w:w="2251"/>
        <w:gridCol w:w="2141"/>
        <w:gridCol w:w="1371"/>
        <w:gridCol w:w="2361"/>
        <w:gridCol w:w="1371"/>
      </w:tblGrid>
      <w:tr w:rsidR="00880262" w:rsidRPr="00C04365" w:rsidTr="00B52854">
        <w:trPr>
          <w:trHeight w:val="431"/>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2656" w:rsidRDefault="00B32656" w:rsidP="00B52854">
            <w:pPr>
              <w:jc w:val="center"/>
              <w:rPr>
                <w:rFonts w:ascii="Tahoma" w:hAnsi="Tahoma" w:cs="Tahoma"/>
                <w:b/>
                <w:bCs/>
                <w:color w:val="000000"/>
                <w:sz w:val="20"/>
                <w:szCs w:val="20"/>
                <w:lang w:val="en-US" w:eastAsia="en-US"/>
              </w:rPr>
            </w:pPr>
            <w:proofErr w:type="spellStart"/>
            <w:r>
              <w:rPr>
                <w:rFonts w:ascii="Tahoma" w:hAnsi="Tahoma" w:cs="Tahoma"/>
                <w:b/>
                <w:bCs/>
                <w:color w:val="000000"/>
                <w:sz w:val="20"/>
                <w:szCs w:val="20"/>
              </w:rPr>
              <w:t>Tahun</w:t>
            </w:r>
            <w:proofErr w:type="spellEnd"/>
          </w:p>
          <w:p w:rsidR="00880262" w:rsidRPr="0011336B" w:rsidRDefault="00880262" w:rsidP="00B52854">
            <w:pPr>
              <w:spacing w:line="360" w:lineRule="auto"/>
              <w:jc w:val="center"/>
              <w:rPr>
                <w:b/>
                <w:sz w:val="22"/>
                <w:szCs w:val="22"/>
                <w:lang w:val="en-US" w:eastAsia="en-US"/>
              </w:rPr>
            </w:pPr>
          </w:p>
        </w:tc>
        <w:tc>
          <w:tcPr>
            <w:tcW w:w="2251" w:type="dxa"/>
            <w:tcBorders>
              <w:top w:val="single" w:sz="4" w:space="0" w:color="auto"/>
              <w:left w:val="nil"/>
              <w:bottom w:val="single" w:sz="4" w:space="0" w:color="auto"/>
              <w:right w:val="single" w:sz="4" w:space="0" w:color="auto"/>
            </w:tcBorders>
            <w:shd w:val="clear" w:color="auto" w:fill="auto"/>
            <w:noWrap/>
            <w:vAlign w:val="bottom"/>
            <w:hideMark/>
          </w:tcPr>
          <w:p w:rsidR="00880262" w:rsidRPr="0011336B" w:rsidRDefault="00880262" w:rsidP="00B52854">
            <w:pPr>
              <w:spacing w:line="360" w:lineRule="auto"/>
              <w:jc w:val="center"/>
              <w:rPr>
                <w:b/>
                <w:sz w:val="22"/>
                <w:szCs w:val="22"/>
                <w:lang w:val="en-US" w:eastAsia="en-US"/>
              </w:rPr>
            </w:pPr>
            <w:proofErr w:type="spellStart"/>
            <w:r w:rsidRPr="0011336B">
              <w:rPr>
                <w:b/>
                <w:sz w:val="22"/>
                <w:szCs w:val="22"/>
                <w:lang w:val="en-US" w:eastAsia="en-US"/>
              </w:rPr>
              <w:t>Belanja</w:t>
            </w:r>
            <w:proofErr w:type="spellEnd"/>
            <w:r w:rsidRPr="0011336B">
              <w:rPr>
                <w:b/>
                <w:sz w:val="22"/>
                <w:szCs w:val="22"/>
                <w:lang w:val="en-US" w:eastAsia="en-US"/>
              </w:rPr>
              <w:t xml:space="preserve"> Daerah</w:t>
            </w:r>
          </w:p>
          <w:p w:rsidR="00880262" w:rsidRPr="0011336B" w:rsidRDefault="00880262" w:rsidP="00B52854">
            <w:pPr>
              <w:spacing w:line="360" w:lineRule="auto"/>
              <w:jc w:val="center"/>
              <w:rPr>
                <w:b/>
                <w:sz w:val="22"/>
                <w:szCs w:val="22"/>
                <w:lang w:val="en-US" w:eastAsia="en-US"/>
              </w:rPr>
            </w:pPr>
            <w:r w:rsidRPr="0011336B">
              <w:rPr>
                <w:b/>
                <w:sz w:val="22"/>
                <w:szCs w:val="22"/>
                <w:lang w:val="en-US" w:eastAsia="en-US"/>
              </w:rPr>
              <w:t xml:space="preserve"> (Y)</w:t>
            </w:r>
          </w:p>
        </w:tc>
        <w:tc>
          <w:tcPr>
            <w:tcW w:w="2141" w:type="dxa"/>
            <w:tcBorders>
              <w:top w:val="single" w:sz="4" w:space="0" w:color="auto"/>
              <w:left w:val="nil"/>
              <w:bottom w:val="single" w:sz="4" w:space="0" w:color="auto"/>
              <w:right w:val="single" w:sz="4" w:space="0" w:color="auto"/>
            </w:tcBorders>
            <w:shd w:val="clear" w:color="auto" w:fill="auto"/>
            <w:noWrap/>
            <w:vAlign w:val="bottom"/>
            <w:hideMark/>
          </w:tcPr>
          <w:p w:rsidR="00880262" w:rsidRPr="0011336B" w:rsidRDefault="00880262" w:rsidP="00B52854">
            <w:pPr>
              <w:spacing w:line="360" w:lineRule="auto"/>
              <w:jc w:val="center"/>
              <w:rPr>
                <w:b/>
                <w:sz w:val="22"/>
                <w:szCs w:val="22"/>
                <w:lang w:val="en-US" w:eastAsia="en-US"/>
              </w:rPr>
            </w:pPr>
            <w:r w:rsidRPr="0011336B">
              <w:rPr>
                <w:b/>
                <w:sz w:val="22"/>
                <w:szCs w:val="22"/>
                <w:lang w:val="en-US" w:eastAsia="en-US"/>
              </w:rPr>
              <w:t xml:space="preserve">PAD </w:t>
            </w:r>
          </w:p>
          <w:p w:rsidR="00880262" w:rsidRPr="0011336B" w:rsidRDefault="00880262" w:rsidP="00B52854">
            <w:pPr>
              <w:spacing w:line="360" w:lineRule="auto"/>
              <w:jc w:val="center"/>
              <w:rPr>
                <w:b/>
                <w:sz w:val="22"/>
                <w:szCs w:val="22"/>
                <w:lang w:val="en-US" w:eastAsia="en-US"/>
              </w:rPr>
            </w:pPr>
            <w:r w:rsidRPr="0011336B">
              <w:rPr>
                <w:b/>
                <w:sz w:val="22"/>
                <w:szCs w:val="22"/>
                <w:lang w:val="en-US" w:eastAsia="en-US"/>
              </w:rPr>
              <w:t>(X1)</w:t>
            </w:r>
          </w:p>
        </w:tc>
        <w:tc>
          <w:tcPr>
            <w:tcW w:w="1371" w:type="dxa"/>
            <w:tcBorders>
              <w:top w:val="single" w:sz="4" w:space="0" w:color="auto"/>
              <w:left w:val="nil"/>
              <w:bottom w:val="single" w:sz="4" w:space="0" w:color="auto"/>
              <w:right w:val="single" w:sz="4" w:space="0" w:color="auto"/>
            </w:tcBorders>
            <w:shd w:val="clear" w:color="auto" w:fill="auto"/>
            <w:noWrap/>
            <w:vAlign w:val="bottom"/>
            <w:hideMark/>
          </w:tcPr>
          <w:p w:rsidR="00B32656" w:rsidRPr="00B32656" w:rsidRDefault="00B32656" w:rsidP="00B52854">
            <w:pPr>
              <w:jc w:val="center"/>
              <w:rPr>
                <w:b/>
                <w:bCs/>
                <w:color w:val="000000"/>
                <w:sz w:val="22"/>
                <w:szCs w:val="22"/>
                <w:lang w:val="en-US" w:eastAsia="en-US"/>
              </w:rPr>
            </w:pPr>
            <w:proofErr w:type="spellStart"/>
            <w:r>
              <w:rPr>
                <w:b/>
                <w:bCs/>
                <w:color w:val="000000"/>
                <w:sz w:val="22"/>
                <w:szCs w:val="22"/>
              </w:rPr>
              <w:t>I</w:t>
            </w:r>
            <w:r w:rsidRPr="00B32656">
              <w:rPr>
                <w:b/>
                <w:bCs/>
                <w:color w:val="000000"/>
                <w:sz w:val="22"/>
                <w:szCs w:val="22"/>
              </w:rPr>
              <w:t>ndeks</w:t>
            </w:r>
            <w:proofErr w:type="spellEnd"/>
          </w:p>
          <w:p w:rsidR="00880262" w:rsidRPr="0011336B" w:rsidRDefault="00880262" w:rsidP="00B52854">
            <w:pPr>
              <w:spacing w:line="360" w:lineRule="auto"/>
              <w:rPr>
                <w:b/>
                <w:sz w:val="22"/>
                <w:szCs w:val="22"/>
                <w:lang w:val="en-US" w:eastAsia="en-US"/>
              </w:rPr>
            </w:pPr>
          </w:p>
        </w:tc>
        <w:tc>
          <w:tcPr>
            <w:tcW w:w="2361" w:type="dxa"/>
            <w:tcBorders>
              <w:top w:val="single" w:sz="4" w:space="0" w:color="auto"/>
              <w:left w:val="nil"/>
              <w:bottom w:val="single" w:sz="4" w:space="0" w:color="auto"/>
              <w:right w:val="single" w:sz="4" w:space="0" w:color="auto"/>
            </w:tcBorders>
            <w:shd w:val="clear" w:color="auto" w:fill="auto"/>
            <w:noWrap/>
            <w:vAlign w:val="bottom"/>
            <w:hideMark/>
          </w:tcPr>
          <w:p w:rsidR="00880262" w:rsidRPr="0011336B" w:rsidRDefault="00880262" w:rsidP="00B52854">
            <w:pPr>
              <w:spacing w:line="360" w:lineRule="auto"/>
              <w:jc w:val="center"/>
              <w:rPr>
                <w:b/>
                <w:sz w:val="22"/>
                <w:szCs w:val="22"/>
                <w:lang w:val="en-US" w:eastAsia="en-US"/>
              </w:rPr>
            </w:pPr>
            <w:r w:rsidRPr="0011336B">
              <w:rPr>
                <w:b/>
                <w:sz w:val="22"/>
                <w:szCs w:val="22"/>
                <w:lang w:val="en-US" w:eastAsia="en-US"/>
              </w:rPr>
              <w:t xml:space="preserve">Dana </w:t>
            </w:r>
            <w:proofErr w:type="spellStart"/>
            <w:r w:rsidRPr="0011336B">
              <w:rPr>
                <w:b/>
                <w:sz w:val="22"/>
                <w:szCs w:val="22"/>
                <w:lang w:val="en-US" w:eastAsia="en-US"/>
              </w:rPr>
              <w:t>Perimbangan</w:t>
            </w:r>
            <w:proofErr w:type="spellEnd"/>
            <w:r w:rsidRPr="0011336B">
              <w:rPr>
                <w:b/>
                <w:sz w:val="22"/>
                <w:szCs w:val="22"/>
                <w:lang w:val="en-US" w:eastAsia="en-US"/>
              </w:rPr>
              <w:t xml:space="preserve">  (X2)</w:t>
            </w:r>
          </w:p>
        </w:tc>
        <w:tc>
          <w:tcPr>
            <w:tcW w:w="1371" w:type="dxa"/>
            <w:tcBorders>
              <w:top w:val="single" w:sz="4" w:space="0" w:color="auto"/>
              <w:left w:val="nil"/>
              <w:bottom w:val="single" w:sz="4" w:space="0" w:color="auto"/>
              <w:right w:val="single" w:sz="4" w:space="0" w:color="auto"/>
            </w:tcBorders>
            <w:shd w:val="clear" w:color="auto" w:fill="auto"/>
            <w:noWrap/>
            <w:vAlign w:val="bottom"/>
            <w:hideMark/>
          </w:tcPr>
          <w:p w:rsidR="00B32656" w:rsidRPr="00B32656" w:rsidRDefault="00B32656" w:rsidP="00B52854">
            <w:pPr>
              <w:jc w:val="center"/>
              <w:rPr>
                <w:b/>
                <w:bCs/>
                <w:color w:val="000000"/>
                <w:sz w:val="22"/>
                <w:szCs w:val="22"/>
                <w:lang w:val="en-US" w:eastAsia="en-US"/>
              </w:rPr>
            </w:pPr>
            <w:proofErr w:type="spellStart"/>
            <w:r w:rsidRPr="00B32656">
              <w:rPr>
                <w:b/>
                <w:bCs/>
                <w:color w:val="000000"/>
                <w:sz w:val="22"/>
                <w:szCs w:val="22"/>
              </w:rPr>
              <w:t>Indeks</w:t>
            </w:r>
            <w:proofErr w:type="spellEnd"/>
            <w:r w:rsidRPr="00B32656">
              <w:rPr>
                <w:b/>
                <w:bCs/>
                <w:color w:val="000000"/>
                <w:sz w:val="22"/>
                <w:szCs w:val="22"/>
              </w:rPr>
              <w:t xml:space="preserve"> </w:t>
            </w:r>
          </w:p>
          <w:p w:rsidR="00880262" w:rsidRPr="0011336B" w:rsidRDefault="00880262" w:rsidP="00B52854">
            <w:pPr>
              <w:spacing w:line="360" w:lineRule="auto"/>
              <w:jc w:val="center"/>
              <w:rPr>
                <w:b/>
                <w:sz w:val="22"/>
                <w:szCs w:val="22"/>
                <w:lang w:val="en-US" w:eastAsia="en-US"/>
              </w:rPr>
            </w:pPr>
          </w:p>
        </w:tc>
      </w:tr>
      <w:tr w:rsidR="00880262" w:rsidRPr="00C04365" w:rsidTr="00B52854">
        <w:trPr>
          <w:trHeight w:val="337"/>
          <w:jc w:val="center"/>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880262" w:rsidRPr="0011336B" w:rsidRDefault="00880262" w:rsidP="00B52854">
            <w:pPr>
              <w:spacing w:line="360" w:lineRule="auto"/>
              <w:jc w:val="center"/>
              <w:rPr>
                <w:color w:val="000000"/>
                <w:sz w:val="22"/>
                <w:szCs w:val="22"/>
                <w:lang w:val="en-US" w:eastAsia="en-US"/>
              </w:rPr>
            </w:pPr>
            <w:r w:rsidRPr="0011336B">
              <w:rPr>
                <w:color w:val="000000"/>
                <w:sz w:val="22"/>
                <w:szCs w:val="22"/>
              </w:rPr>
              <w:t>2010</w:t>
            </w:r>
          </w:p>
        </w:tc>
        <w:tc>
          <w:tcPr>
            <w:tcW w:w="2251" w:type="dxa"/>
            <w:tcBorders>
              <w:top w:val="nil"/>
              <w:left w:val="nil"/>
              <w:bottom w:val="single" w:sz="4" w:space="0" w:color="auto"/>
              <w:right w:val="single" w:sz="4" w:space="0" w:color="auto"/>
            </w:tcBorders>
            <w:shd w:val="clear" w:color="auto" w:fill="auto"/>
            <w:noWrap/>
            <w:vAlign w:val="center"/>
            <w:hideMark/>
          </w:tcPr>
          <w:p w:rsidR="00880262" w:rsidRPr="0011336B" w:rsidRDefault="00880262" w:rsidP="00B52854">
            <w:pPr>
              <w:spacing w:line="360" w:lineRule="auto"/>
              <w:jc w:val="center"/>
              <w:rPr>
                <w:color w:val="000000"/>
                <w:sz w:val="22"/>
                <w:szCs w:val="22"/>
              </w:rPr>
            </w:pPr>
            <w:r w:rsidRPr="0011336B">
              <w:rPr>
                <w:color w:val="000000"/>
                <w:sz w:val="22"/>
                <w:szCs w:val="22"/>
              </w:rPr>
              <w:t>9,955,727,793,177.10</w:t>
            </w:r>
          </w:p>
        </w:tc>
        <w:tc>
          <w:tcPr>
            <w:tcW w:w="2141" w:type="dxa"/>
            <w:tcBorders>
              <w:top w:val="nil"/>
              <w:left w:val="nil"/>
              <w:bottom w:val="single" w:sz="4" w:space="0" w:color="auto"/>
              <w:right w:val="single" w:sz="4" w:space="0" w:color="auto"/>
            </w:tcBorders>
            <w:shd w:val="clear" w:color="auto" w:fill="auto"/>
            <w:noWrap/>
            <w:vAlign w:val="center"/>
            <w:hideMark/>
          </w:tcPr>
          <w:p w:rsidR="00880262" w:rsidRPr="0011336B" w:rsidRDefault="00880262" w:rsidP="00B52854">
            <w:pPr>
              <w:spacing w:line="360" w:lineRule="auto"/>
              <w:jc w:val="center"/>
              <w:rPr>
                <w:color w:val="000000"/>
                <w:sz w:val="22"/>
                <w:szCs w:val="22"/>
                <w:lang w:val="en-US" w:eastAsia="en-US"/>
              </w:rPr>
            </w:pPr>
            <w:r w:rsidRPr="0011336B">
              <w:rPr>
                <w:color w:val="000000"/>
                <w:sz w:val="22"/>
                <w:szCs w:val="22"/>
              </w:rPr>
              <w:t>582,636,559,824.00</w:t>
            </w:r>
          </w:p>
        </w:tc>
        <w:tc>
          <w:tcPr>
            <w:tcW w:w="1371" w:type="dxa"/>
            <w:tcBorders>
              <w:top w:val="nil"/>
              <w:left w:val="nil"/>
              <w:bottom w:val="single" w:sz="4" w:space="0" w:color="auto"/>
              <w:right w:val="single" w:sz="4" w:space="0" w:color="auto"/>
            </w:tcBorders>
            <w:shd w:val="clear" w:color="auto" w:fill="auto"/>
            <w:noWrap/>
            <w:vAlign w:val="center"/>
            <w:hideMark/>
          </w:tcPr>
          <w:p w:rsidR="00880262" w:rsidRPr="0011336B" w:rsidRDefault="00880262" w:rsidP="00B52854">
            <w:pPr>
              <w:spacing w:line="360" w:lineRule="auto"/>
              <w:jc w:val="center"/>
              <w:rPr>
                <w:color w:val="000000"/>
                <w:sz w:val="22"/>
                <w:szCs w:val="22"/>
                <w:lang w:val="en-US" w:eastAsia="en-US"/>
              </w:rPr>
            </w:pPr>
            <w:r w:rsidRPr="0011336B">
              <w:rPr>
                <w:color w:val="000000"/>
                <w:sz w:val="22"/>
                <w:szCs w:val="22"/>
              </w:rPr>
              <w:t>0.058522749</w:t>
            </w:r>
          </w:p>
        </w:tc>
        <w:tc>
          <w:tcPr>
            <w:tcW w:w="2361" w:type="dxa"/>
            <w:tcBorders>
              <w:top w:val="nil"/>
              <w:left w:val="nil"/>
              <w:bottom w:val="single" w:sz="4" w:space="0" w:color="auto"/>
              <w:right w:val="single" w:sz="4" w:space="0" w:color="auto"/>
            </w:tcBorders>
            <w:shd w:val="clear" w:color="auto" w:fill="auto"/>
            <w:noWrap/>
            <w:vAlign w:val="center"/>
            <w:hideMark/>
          </w:tcPr>
          <w:p w:rsidR="00880262" w:rsidRPr="0011336B" w:rsidRDefault="00880262" w:rsidP="00B52854">
            <w:pPr>
              <w:spacing w:line="360" w:lineRule="auto"/>
              <w:jc w:val="center"/>
              <w:rPr>
                <w:bCs/>
                <w:sz w:val="22"/>
                <w:szCs w:val="22"/>
              </w:rPr>
            </w:pPr>
            <w:r w:rsidRPr="0011336B">
              <w:rPr>
                <w:bCs/>
                <w:sz w:val="22"/>
                <w:szCs w:val="22"/>
              </w:rPr>
              <w:t xml:space="preserve">7,326,366,165,775.00 </w:t>
            </w:r>
          </w:p>
        </w:tc>
        <w:tc>
          <w:tcPr>
            <w:tcW w:w="1371" w:type="dxa"/>
            <w:tcBorders>
              <w:top w:val="nil"/>
              <w:left w:val="nil"/>
              <w:bottom w:val="single" w:sz="4" w:space="0" w:color="auto"/>
              <w:right w:val="single" w:sz="4" w:space="0" w:color="auto"/>
            </w:tcBorders>
            <w:shd w:val="clear" w:color="auto" w:fill="auto"/>
            <w:noWrap/>
            <w:vAlign w:val="bottom"/>
            <w:hideMark/>
          </w:tcPr>
          <w:p w:rsidR="00880262" w:rsidRPr="0011336B" w:rsidRDefault="00880262" w:rsidP="00B52854">
            <w:pPr>
              <w:spacing w:line="360" w:lineRule="auto"/>
              <w:jc w:val="center"/>
              <w:rPr>
                <w:color w:val="000000"/>
                <w:sz w:val="22"/>
                <w:szCs w:val="22"/>
                <w:lang w:val="en-US" w:eastAsia="en-US"/>
              </w:rPr>
            </w:pPr>
            <w:r w:rsidRPr="0011336B">
              <w:rPr>
                <w:color w:val="000000"/>
                <w:sz w:val="22"/>
                <w:szCs w:val="22"/>
              </w:rPr>
              <w:t>0.735894584</w:t>
            </w:r>
          </w:p>
        </w:tc>
      </w:tr>
      <w:tr w:rsidR="00880262" w:rsidRPr="00C04365" w:rsidTr="00B52854">
        <w:trPr>
          <w:trHeight w:val="337"/>
          <w:jc w:val="center"/>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880262" w:rsidRPr="0011336B" w:rsidRDefault="00880262" w:rsidP="00B52854">
            <w:pPr>
              <w:spacing w:line="360" w:lineRule="auto"/>
              <w:jc w:val="center"/>
              <w:rPr>
                <w:color w:val="000000"/>
                <w:sz w:val="22"/>
                <w:szCs w:val="22"/>
                <w:lang w:val="en-US" w:eastAsia="en-US"/>
              </w:rPr>
            </w:pPr>
            <w:r w:rsidRPr="0011336B">
              <w:rPr>
                <w:color w:val="000000"/>
                <w:sz w:val="22"/>
                <w:szCs w:val="22"/>
              </w:rPr>
              <w:t>2011</w:t>
            </w:r>
          </w:p>
        </w:tc>
        <w:tc>
          <w:tcPr>
            <w:tcW w:w="2251" w:type="dxa"/>
            <w:tcBorders>
              <w:top w:val="nil"/>
              <w:left w:val="nil"/>
              <w:bottom w:val="single" w:sz="4" w:space="0" w:color="auto"/>
              <w:right w:val="single" w:sz="4" w:space="0" w:color="auto"/>
            </w:tcBorders>
            <w:shd w:val="clear" w:color="auto" w:fill="auto"/>
            <w:noWrap/>
            <w:vAlign w:val="center"/>
            <w:hideMark/>
          </w:tcPr>
          <w:p w:rsidR="00880262" w:rsidRPr="0011336B" w:rsidRDefault="00880262" w:rsidP="00B52854">
            <w:pPr>
              <w:spacing w:line="360" w:lineRule="auto"/>
              <w:jc w:val="center"/>
              <w:rPr>
                <w:color w:val="000000"/>
                <w:sz w:val="22"/>
                <w:szCs w:val="22"/>
              </w:rPr>
            </w:pPr>
            <w:r w:rsidRPr="0011336B">
              <w:rPr>
                <w:color w:val="000000"/>
                <w:sz w:val="22"/>
                <w:szCs w:val="22"/>
              </w:rPr>
              <w:t>10,989,893,770,762.00</w:t>
            </w:r>
          </w:p>
        </w:tc>
        <w:tc>
          <w:tcPr>
            <w:tcW w:w="2141" w:type="dxa"/>
            <w:tcBorders>
              <w:top w:val="nil"/>
              <w:left w:val="nil"/>
              <w:bottom w:val="single" w:sz="4" w:space="0" w:color="auto"/>
              <w:right w:val="single" w:sz="4" w:space="0" w:color="auto"/>
            </w:tcBorders>
            <w:shd w:val="clear" w:color="auto" w:fill="auto"/>
            <w:noWrap/>
            <w:vAlign w:val="center"/>
            <w:hideMark/>
          </w:tcPr>
          <w:p w:rsidR="00880262" w:rsidRPr="0011336B" w:rsidRDefault="00880262" w:rsidP="00B52854">
            <w:pPr>
              <w:spacing w:line="360" w:lineRule="auto"/>
              <w:jc w:val="center"/>
              <w:rPr>
                <w:color w:val="000000"/>
                <w:sz w:val="22"/>
                <w:szCs w:val="22"/>
                <w:lang w:val="en-US" w:eastAsia="en-US"/>
              </w:rPr>
            </w:pPr>
            <w:r w:rsidRPr="0011336B">
              <w:rPr>
                <w:color w:val="000000"/>
                <w:sz w:val="22"/>
                <w:szCs w:val="22"/>
              </w:rPr>
              <w:t>675,090,013,256.40 </w:t>
            </w:r>
          </w:p>
        </w:tc>
        <w:tc>
          <w:tcPr>
            <w:tcW w:w="1371" w:type="dxa"/>
            <w:tcBorders>
              <w:top w:val="nil"/>
              <w:left w:val="nil"/>
              <w:bottom w:val="single" w:sz="4" w:space="0" w:color="auto"/>
              <w:right w:val="single" w:sz="4" w:space="0" w:color="auto"/>
            </w:tcBorders>
            <w:shd w:val="clear" w:color="auto" w:fill="auto"/>
            <w:noWrap/>
            <w:vAlign w:val="center"/>
            <w:hideMark/>
          </w:tcPr>
          <w:p w:rsidR="00880262" w:rsidRPr="0011336B" w:rsidRDefault="00880262" w:rsidP="00B52854">
            <w:pPr>
              <w:spacing w:line="360" w:lineRule="auto"/>
              <w:rPr>
                <w:color w:val="000000"/>
                <w:sz w:val="22"/>
                <w:szCs w:val="22"/>
                <w:lang w:val="en-US" w:eastAsia="en-US"/>
              </w:rPr>
            </w:pPr>
            <w:r w:rsidRPr="0011336B">
              <w:rPr>
                <w:color w:val="000000"/>
                <w:sz w:val="22"/>
                <w:szCs w:val="22"/>
              </w:rPr>
              <w:t>0.061428256</w:t>
            </w:r>
          </w:p>
        </w:tc>
        <w:tc>
          <w:tcPr>
            <w:tcW w:w="2361" w:type="dxa"/>
            <w:tcBorders>
              <w:top w:val="nil"/>
              <w:left w:val="nil"/>
              <w:bottom w:val="single" w:sz="4" w:space="0" w:color="auto"/>
              <w:right w:val="single" w:sz="4" w:space="0" w:color="auto"/>
            </w:tcBorders>
            <w:shd w:val="clear" w:color="auto" w:fill="auto"/>
            <w:noWrap/>
            <w:vAlign w:val="center"/>
            <w:hideMark/>
          </w:tcPr>
          <w:p w:rsidR="00880262" w:rsidRPr="0011336B" w:rsidRDefault="00880262" w:rsidP="00B52854">
            <w:pPr>
              <w:spacing w:line="360" w:lineRule="auto"/>
              <w:jc w:val="center"/>
              <w:rPr>
                <w:bCs/>
                <w:sz w:val="22"/>
                <w:szCs w:val="22"/>
              </w:rPr>
            </w:pPr>
            <w:r w:rsidRPr="0011336B">
              <w:rPr>
                <w:bCs/>
                <w:sz w:val="22"/>
                <w:szCs w:val="22"/>
              </w:rPr>
              <w:t xml:space="preserve">8,220,681,976,371.00 </w:t>
            </w:r>
            <w:r w:rsidRPr="0011336B">
              <w:rPr>
                <w:color w:val="000000"/>
                <w:sz w:val="22"/>
                <w:szCs w:val="22"/>
              </w:rPr>
              <w:t> </w:t>
            </w:r>
          </w:p>
        </w:tc>
        <w:tc>
          <w:tcPr>
            <w:tcW w:w="1371" w:type="dxa"/>
            <w:tcBorders>
              <w:top w:val="nil"/>
              <w:left w:val="nil"/>
              <w:bottom w:val="single" w:sz="4" w:space="0" w:color="auto"/>
              <w:right w:val="single" w:sz="4" w:space="0" w:color="auto"/>
            </w:tcBorders>
            <w:shd w:val="clear" w:color="auto" w:fill="auto"/>
            <w:noWrap/>
            <w:vAlign w:val="bottom"/>
            <w:hideMark/>
          </w:tcPr>
          <w:p w:rsidR="00880262" w:rsidRPr="0011336B" w:rsidRDefault="00880262" w:rsidP="00B52854">
            <w:pPr>
              <w:spacing w:line="360" w:lineRule="auto"/>
              <w:jc w:val="center"/>
              <w:rPr>
                <w:color w:val="000000"/>
                <w:sz w:val="22"/>
                <w:szCs w:val="22"/>
                <w:lang w:val="en-US" w:eastAsia="en-US"/>
              </w:rPr>
            </w:pPr>
            <w:r w:rsidRPr="0011336B">
              <w:rPr>
                <w:color w:val="000000"/>
                <w:sz w:val="22"/>
                <w:szCs w:val="22"/>
              </w:rPr>
              <w:t>0.748021968</w:t>
            </w:r>
          </w:p>
        </w:tc>
      </w:tr>
      <w:tr w:rsidR="00880262" w:rsidRPr="00C04365" w:rsidTr="00B52854">
        <w:trPr>
          <w:trHeight w:val="337"/>
          <w:jc w:val="center"/>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880262" w:rsidRPr="0011336B" w:rsidRDefault="00880262" w:rsidP="00B52854">
            <w:pPr>
              <w:spacing w:line="360" w:lineRule="auto"/>
              <w:jc w:val="center"/>
              <w:rPr>
                <w:color w:val="000000"/>
                <w:sz w:val="22"/>
                <w:szCs w:val="22"/>
                <w:lang w:val="en-US" w:eastAsia="en-US"/>
              </w:rPr>
            </w:pPr>
            <w:r w:rsidRPr="0011336B">
              <w:rPr>
                <w:color w:val="000000"/>
                <w:sz w:val="22"/>
                <w:szCs w:val="22"/>
              </w:rPr>
              <w:t>2012</w:t>
            </w:r>
          </w:p>
        </w:tc>
        <w:tc>
          <w:tcPr>
            <w:tcW w:w="2251" w:type="dxa"/>
            <w:tcBorders>
              <w:top w:val="nil"/>
              <w:left w:val="nil"/>
              <w:bottom w:val="single" w:sz="4" w:space="0" w:color="auto"/>
              <w:right w:val="single" w:sz="4" w:space="0" w:color="auto"/>
            </w:tcBorders>
            <w:shd w:val="clear" w:color="auto" w:fill="auto"/>
            <w:noWrap/>
            <w:vAlign w:val="center"/>
            <w:hideMark/>
          </w:tcPr>
          <w:p w:rsidR="00880262" w:rsidRPr="0011336B" w:rsidRDefault="00880262" w:rsidP="00B52854">
            <w:pPr>
              <w:spacing w:line="360" w:lineRule="auto"/>
              <w:jc w:val="center"/>
              <w:rPr>
                <w:color w:val="000000"/>
                <w:sz w:val="22"/>
                <w:szCs w:val="22"/>
              </w:rPr>
            </w:pPr>
            <w:r w:rsidRPr="0011336B">
              <w:rPr>
                <w:color w:val="000000"/>
                <w:sz w:val="22"/>
                <w:szCs w:val="22"/>
              </w:rPr>
              <w:t>12,607,350,043,261.10</w:t>
            </w:r>
          </w:p>
        </w:tc>
        <w:tc>
          <w:tcPr>
            <w:tcW w:w="2141" w:type="dxa"/>
            <w:tcBorders>
              <w:top w:val="nil"/>
              <w:left w:val="nil"/>
              <w:bottom w:val="single" w:sz="4" w:space="0" w:color="auto"/>
              <w:right w:val="single" w:sz="4" w:space="0" w:color="auto"/>
            </w:tcBorders>
            <w:shd w:val="clear" w:color="auto" w:fill="auto"/>
            <w:noWrap/>
            <w:vAlign w:val="center"/>
            <w:hideMark/>
          </w:tcPr>
          <w:p w:rsidR="00880262" w:rsidRPr="0011336B" w:rsidRDefault="00880262" w:rsidP="00B52854">
            <w:pPr>
              <w:spacing w:line="360" w:lineRule="auto"/>
              <w:jc w:val="center"/>
              <w:rPr>
                <w:color w:val="000000"/>
                <w:sz w:val="22"/>
                <w:szCs w:val="22"/>
                <w:lang w:val="en-US" w:eastAsia="en-US"/>
              </w:rPr>
            </w:pPr>
            <w:r w:rsidRPr="0011336B">
              <w:rPr>
                <w:color w:val="000000"/>
                <w:sz w:val="22"/>
                <w:szCs w:val="22"/>
              </w:rPr>
              <w:t>807,188,322,402.76</w:t>
            </w:r>
          </w:p>
        </w:tc>
        <w:tc>
          <w:tcPr>
            <w:tcW w:w="1371" w:type="dxa"/>
            <w:tcBorders>
              <w:top w:val="nil"/>
              <w:left w:val="nil"/>
              <w:bottom w:val="single" w:sz="4" w:space="0" w:color="auto"/>
              <w:right w:val="single" w:sz="4" w:space="0" w:color="auto"/>
            </w:tcBorders>
            <w:shd w:val="clear" w:color="auto" w:fill="auto"/>
            <w:noWrap/>
            <w:vAlign w:val="center"/>
            <w:hideMark/>
          </w:tcPr>
          <w:p w:rsidR="00880262" w:rsidRPr="0011336B" w:rsidRDefault="00880262" w:rsidP="00B52854">
            <w:pPr>
              <w:spacing w:line="360" w:lineRule="auto"/>
              <w:jc w:val="center"/>
              <w:rPr>
                <w:color w:val="000000"/>
                <w:sz w:val="22"/>
                <w:szCs w:val="22"/>
                <w:lang w:val="en-US" w:eastAsia="en-US"/>
              </w:rPr>
            </w:pPr>
            <w:r w:rsidRPr="0011336B">
              <w:rPr>
                <w:color w:val="000000"/>
                <w:sz w:val="22"/>
                <w:szCs w:val="22"/>
              </w:rPr>
              <w:t>0.064025217</w:t>
            </w:r>
          </w:p>
        </w:tc>
        <w:tc>
          <w:tcPr>
            <w:tcW w:w="2361" w:type="dxa"/>
            <w:tcBorders>
              <w:top w:val="nil"/>
              <w:left w:val="nil"/>
              <w:bottom w:val="single" w:sz="4" w:space="0" w:color="auto"/>
              <w:right w:val="single" w:sz="4" w:space="0" w:color="auto"/>
            </w:tcBorders>
            <w:shd w:val="clear" w:color="auto" w:fill="auto"/>
            <w:noWrap/>
            <w:vAlign w:val="center"/>
            <w:hideMark/>
          </w:tcPr>
          <w:p w:rsidR="00880262" w:rsidRPr="0011336B" w:rsidRDefault="00880262" w:rsidP="00B52854">
            <w:pPr>
              <w:spacing w:line="360" w:lineRule="auto"/>
              <w:jc w:val="center"/>
              <w:rPr>
                <w:bCs/>
                <w:sz w:val="22"/>
                <w:szCs w:val="22"/>
              </w:rPr>
            </w:pPr>
            <w:r w:rsidRPr="0011336B">
              <w:rPr>
                <w:bCs/>
                <w:sz w:val="22"/>
                <w:szCs w:val="22"/>
              </w:rPr>
              <w:t xml:space="preserve">9,553,716,447,179.50 </w:t>
            </w:r>
          </w:p>
        </w:tc>
        <w:tc>
          <w:tcPr>
            <w:tcW w:w="1371" w:type="dxa"/>
            <w:tcBorders>
              <w:top w:val="nil"/>
              <w:left w:val="nil"/>
              <w:bottom w:val="single" w:sz="4" w:space="0" w:color="auto"/>
              <w:right w:val="single" w:sz="4" w:space="0" w:color="auto"/>
            </w:tcBorders>
            <w:shd w:val="clear" w:color="auto" w:fill="auto"/>
            <w:noWrap/>
            <w:vAlign w:val="bottom"/>
            <w:hideMark/>
          </w:tcPr>
          <w:p w:rsidR="00880262" w:rsidRPr="0011336B" w:rsidRDefault="00880262" w:rsidP="00B52854">
            <w:pPr>
              <w:spacing w:line="360" w:lineRule="auto"/>
              <w:jc w:val="center"/>
              <w:rPr>
                <w:color w:val="000000"/>
                <w:sz w:val="22"/>
                <w:szCs w:val="22"/>
                <w:lang w:val="en-US" w:eastAsia="en-US"/>
              </w:rPr>
            </w:pPr>
            <w:r w:rsidRPr="0011336B">
              <w:rPr>
                <w:color w:val="000000"/>
                <w:sz w:val="22"/>
                <w:szCs w:val="22"/>
              </w:rPr>
              <w:t>0.757789418</w:t>
            </w:r>
          </w:p>
        </w:tc>
      </w:tr>
      <w:tr w:rsidR="00880262" w:rsidRPr="00C04365" w:rsidTr="00B52854">
        <w:trPr>
          <w:trHeight w:val="337"/>
          <w:jc w:val="center"/>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880262" w:rsidRPr="0011336B" w:rsidRDefault="00880262" w:rsidP="00B52854">
            <w:pPr>
              <w:spacing w:line="360" w:lineRule="auto"/>
              <w:jc w:val="center"/>
              <w:rPr>
                <w:color w:val="000000"/>
                <w:sz w:val="22"/>
                <w:szCs w:val="22"/>
                <w:lang w:val="en-US" w:eastAsia="en-US"/>
              </w:rPr>
            </w:pPr>
            <w:r w:rsidRPr="0011336B">
              <w:rPr>
                <w:color w:val="000000"/>
                <w:sz w:val="22"/>
                <w:szCs w:val="22"/>
              </w:rPr>
              <w:t>2013</w:t>
            </w:r>
          </w:p>
        </w:tc>
        <w:tc>
          <w:tcPr>
            <w:tcW w:w="2251" w:type="dxa"/>
            <w:tcBorders>
              <w:top w:val="nil"/>
              <w:left w:val="nil"/>
              <w:bottom w:val="single" w:sz="4" w:space="0" w:color="auto"/>
              <w:right w:val="single" w:sz="4" w:space="0" w:color="auto"/>
            </w:tcBorders>
            <w:shd w:val="clear" w:color="auto" w:fill="auto"/>
            <w:noWrap/>
            <w:vAlign w:val="center"/>
            <w:hideMark/>
          </w:tcPr>
          <w:p w:rsidR="00880262" w:rsidRPr="0011336B" w:rsidRDefault="00880262" w:rsidP="00B52854">
            <w:pPr>
              <w:spacing w:line="360" w:lineRule="auto"/>
              <w:jc w:val="center"/>
              <w:rPr>
                <w:color w:val="000000"/>
                <w:sz w:val="22"/>
                <w:szCs w:val="22"/>
              </w:rPr>
            </w:pPr>
            <w:r w:rsidRPr="0011336B">
              <w:rPr>
                <w:color w:val="000000"/>
                <w:sz w:val="22"/>
                <w:szCs w:val="22"/>
              </w:rPr>
              <w:t>14,215,138,502,184.30</w:t>
            </w:r>
          </w:p>
        </w:tc>
        <w:tc>
          <w:tcPr>
            <w:tcW w:w="2141" w:type="dxa"/>
            <w:tcBorders>
              <w:top w:val="nil"/>
              <w:left w:val="nil"/>
              <w:bottom w:val="single" w:sz="4" w:space="0" w:color="auto"/>
              <w:right w:val="single" w:sz="4" w:space="0" w:color="auto"/>
            </w:tcBorders>
            <w:shd w:val="clear" w:color="auto" w:fill="auto"/>
            <w:noWrap/>
            <w:vAlign w:val="center"/>
            <w:hideMark/>
          </w:tcPr>
          <w:p w:rsidR="00880262" w:rsidRPr="0011336B" w:rsidRDefault="00880262" w:rsidP="00B52854">
            <w:pPr>
              <w:spacing w:line="360" w:lineRule="auto"/>
              <w:jc w:val="center"/>
              <w:rPr>
                <w:color w:val="000000"/>
                <w:sz w:val="22"/>
                <w:szCs w:val="22"/>
                <w:lang w:val="en-US" w:eastAsia="en-US"/>
              </w:rPr>
            </w:pPr>
            <w:r w:rsidRPr="0011336B">
              <w:rPr>
                <w:color w:val="000000"/>
                <w:sz w:val="22"/>
                <w:szCs w:val="22"/>
              </w:rPr>
              <w:t>917,192,376,513.71</w:t>
            </w:r>
          </w:p>
        </w:tc>
        <w:tc>
          <w:tcPr>
            <w:tcW w:w="1371" w:type="dxa"/>
            <w:tcBorders>
              <w:top w:val="nil"/>
              <w:left w:val="nil"/>
              <w:bottom w:val="single" w:sz="4" w:space="0" w:color="auto"/>
              <w:right w:val="single" w:sz="4" w:space="0" w:color="auto"/>
            </w:tcBorders>
            <w:shd w:val="clear" w:color="auto" w:fill="auto"/>
            <w:noWrap/>
            <w:vAlign w:val="center"/>
            <w:hideMark/>
          </w:tcPr>
          <w:p w:rsidR="00880262" w:rsidRPr="0011336B" w:rsidRDefault="00880262" w:rsidP="00B52854">
            <w:pPr>
              <w:spacing w:line="360" w:lineRule="auto"/>
              <w:jc w:val="center"/>
              <w:rPr>
                <w:color w:val="000000"/>
                <w:sz w:val="22"/>
                <w:szCs w:val="22"/>
                <w:lang w:val="en-US" w:eastAsia="en-US"/>
              </w:rPr>
            </w:pPr>
            <w:r w:rsidRPr="0011336B">
              <w:rPr>
                <w:color w:val="000000"/>
                <w:sz w:val="22"/>
                <w:szCs w:val="22"/>
              </w:rPr>
              <w:t>0.064522226</w:t>
            </w:r>
          </w:p>
        </w:tc>
        <w:tc>
          <w:tcPr>
            <w:tcW w:w="2361" w:type="dxa"/>
            <w:tcBorders>
              <w:top w:val="nil"/>
              <w:left w:val="nil"/>
              <w:bottom w:val="single" w:sz="4" w:space="0" w:color="auto"/>
              <w:right w:val="single" w:sz="4" w:space="0" w:color="auto"/>
            </w:tcBorders>
            <w:shd w:val="clear" w:color="auto" w:fill="auto"/>
            <w:noWrap/>
            <w:vAlign w:val="center"/>
            <w:hideMark/>
          </w:tcPr>
          <w:p w:rsidR="00880262" w:rsidRPr="0011336B" w:rsidRDefault="00880262" w:rsidP="00B52854">
            <w:pPr>
              <w:spacing w:line="360" w:lineRule="auto"/>
              <w:jc w:val="center"/>
              <w:rPr>
                <w:bCs/>
                <w:sz w:val="22"/>
                <w:szCs w:val="22"/>
              </w:rPr>
            </w:pPr>
            <w:r w:rsidRPr="0011336B">
              <w:rPr>
                <w:bCs/>
                <w:sz w:val="22"/>
                <w:szCs w:val="22"/>
              </w:rPr>
              <w:t xml:space="preserve">10,939,230,831,501.00 </w:t>
            </w:r>
          </w:p>
        </w:tc>
        <w:tc>
          <w:tcPr>
            <w:tcW w:w="1371" w:type="dxa"/>
            <w:tcBorders>
              <w:top w:val="nil"/>
              <w:left w:val="nil"/>
              <w:bottom w:val="single" w:sz="4" w:space="0" w:color="auto"/>
              <w:right w:val="single" w:sz="4" w:space="0" w:color="auto"/>
            </w:tcBorders>
            <w:shd w:val="clear" w:color="auto" w:fill="auto"/>
            <w:noWrap/>
            <w:vAlign w:val="bottom"/>
            <w:hideMark/>
          </w:tcPr>
          <w:p w:rsidR="00880262" w:rsidRPr="0011336B" w:rsidRDefault="00880262" w:rsidP="00B52854">
            <w:pPr>
              <w:spacing w:line="360" w:lineRule="auto"/>
              <w:jc w:val="center"/>
              <w:rPr>
                <w:color w:val="000000"/>
                <w:sz w:val="22"/>
                <w:szCs w:val="22"/>
                <w:lang w:val="en-US" w:eastAsia="en-US"/>
              </w:rPr>
            </w:pPr>
            <w:r w:rsidRPr="0011336B">
              <w:rPr>
                <w:color w:val="000000"/>
                <w:sz w:val="22"/>
                <w:szCs w:val="22"/>
              </w:rPr>
              <w:t>0.76954796</w:t>
            </w:r>
            <w:r w:rsidR="000B3CE7">
              <w:rPr>
                <w:color w:val="000000"/>
                <w:sz w:val="22"/>
                <w:szCs w:val="22"/>
              </w:rPr>
              <w:t>0</w:t>
            </w:r>
          </w:p>
        </w:tc>
      </w:tr>
      <w:tr w:rsidR="00880262" w:rsidRPr="00C04365" w:rsidTr="00B52854">
        <w:trPr>
          <w:trHeight w:val="337"/>
          <w:jc w:val="center"/>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880262" w:rsidRPr="0011336B" w:rsidRDefault="00880262" w:rsidP="00B52854">
            <w:pPr>
              <w:spacing w:line="360" w:lineRule="auto"/>
              <w:jc w:val="center"/>
              <w:rPr>
                <w:color w:val="000000"/>
                <w:sz w:val="22"/>
                <w:szCs w:val="22"/>
                <w:lang w:val="en-US" w:eastAsia="en-US"/>
              </w:rPr>
            </w:pPr>
            <w:r w:rsidRPr="0011336B">
              <w:rPr>
                <w:color w:val="000000"/>
                <w:sz w:val="22"/>
                <w:szCs w:val="22"/>
              </w:rPr>
              <w:t>2014</w:t>
            </w:r>
          </w:p>
        </w:tc>
        <w:tc>
          <w:tcPr>
            <w:tcW w:w="2251" w:type="dxa"/>
            <w:tcBorders>
              <w:top w:val="nil"/>
              <w:left w:val="nil"/>
              <w:bottom w:val="single" w:sz="4" w:space="0" w:color="auto"/>
              <w:right w:val="single" w:sz="4" w:space="0" w:color="auto"/>
            </w:tcBorders>
            <w:shd w:val="clear" w:color="auto" w:fill="auto"/>
            <w:noWrap/>
            <w:vAlign w:val="center"/>
            <w:hideMark/>
          </w:tcPr>
          <w:p w:rsidR="00880262" w:rsidRPr="0011336B" w:rsidRDefault="00880262" w:rsidP="00B52854">
            <w:pPr>
              <w:spacing w:line="360" w:lineRule="auto"/>
              <w:jc w:val="center"/>
              <w:rPr>
                <w:color w:val="000000"/>
                <w:sz w:val="22"/>
                <w:szCs w:val="22"/>
              </w:rPr>
            </w:pPr>
            <w:r w:rsidRPr="0011336B">
              <w:rPr>
                <w:color w:val="000000"/>
                <w:sz w:val="22"/>
                <w:szCs w:val="22"/>
              </w:rPr>
              <w:t>16,836,791,461,647.20</w:t>
            </w:r>
          </w:p>
        </w:tc>
        <w:tc>
          <w:tcPr>
            <w:tcW w:w="2141" w:type="dxa"/>
            <w:tcBorders>
              <w:top w:val="nil"/>
              <w:left w:val="nil"/>
              <w:bottom w:val="single" w:sz="4" w:space="0" w:color="auto"/>
              <w:right w:val="single" w:sz="4" w:space="0" w:color="auto"/>
            </w:tcBorders>
            <w:shd w:val="clear" w:color="auto" w:fill="auto"/>
            <w:noWrap/>
            <w:vAlign w:val="center"/>
            <w:hideMark/>
          </w:tcPr>
          <w:p w:rsidR="00880262" w:rsidRPr="0011336B" w:rsidRDefault="00880262" w:rsidP="00B52854">
            <w:pPr>
              <w:spacing w:line="360" w:lineRule="auto"/>
              <w:jc w:val="center"/>
              <w:rPr>
                <w:color w:val="000000"/>
                <w:sz w:val="22"/>
                <w:szCs w:val="22"/>
                <w:lang w:val="en-US" w:eastAsia="en-US"/>
              </w:rPr>
            </w:pPr>
            <w:r w:rsidRPr="0011336B">
              <w:rPr>
                <w:color w:val="000000"/>
                <w:sz w:val="22"/>
                <w:szCs w:val="22"/>
              </w:rPr>
              <w:t>1,139,390,482,195.02</w:t>
            </w:r>
          </w:p>
        </w:tc>
        <w:tc>
          <w:tcPr>
            <w:tcW w:w="1371" w:type="dxa"/>
            <w:tcBorders>
              <w:top w:val="nil"/>
              <w:left w:val="nil"/>
              <w:bottom w:val="single" w:sz="4" w:space="0" w:color="auto"/>
              <w:right w:val="single" w:sz="4" w:space="0" w:color="auto"/>
            </w:tcBorders>
            <w:shd w:val="clear" w:color="auto" w:fill="auto"/>
            <w:noWrap/>
            <w:vAlign w:val="center"/>
            <w:hideMark/>
          </w:tcPr>
          <w:p w:rsidR="00880262" w:rsidRPr="0011336B" w:rsidRDefault="00880262" w:rsidP="00B52854">
            <w:pPr>
              <w:spacing w:line="360" w:lineRule="auto"/>
              <w:jc w:val="center"/>
              <w:rPr>
                <w:color w:val="000000"/>
                <w:sz w:val="22"/>
                <w:szCs w:val="22"/>
                <w:lang w:val="en-US" w:eastAsia="en-US"/>
              </w:rPr>
            </w:pPr>
            <w:r w:rsidRPr="0011336B">
              <w:rPr>
                <w:color w:val="000000"/>
                <w:sz w:val="22"/>
                <w:szCs w:val="22"/>
              </w:rPr>
              <w:t>0.067672661</w:t>
            </w:r>
          </w:p>
        </w:tc>
        <w:tc>
          <w:tcPr>
            <w:tcW w:w="2361" w:type="dxa"/>
            <w:tcBorders>
              <w:top w:val="nil"/>
              <w:left w:val="nil"/>
              <w:bottom w:val="single" w:sz="4" w:space="0" w:color="auto"/>
              <w:right w:val="single" w:sz="4" w:space="0" w:color="auto"/>
            </w:tcBorders>
            <w:shd w:val="clear" w:color="auto" w:fill="auto"/>
            <w:noWrap/>
            <w:vAlign w:val="center"/>
            <w:hideMark/>
          </w:tcPr>
          <w:p w:rsidR="00880262" w:rsidRPr="0011336B" w:rsidRDefault="00880262" w:rsidP="00B52854">
            <w:pPr>
              <w:spacing w:line="360" w:lineRule="auto"/>
              <w:jc w:val="center"/>
              <w:rPr>
                <w:bCs/>
                <w:sz w:val="22"/>
                <w:szCs w:val="22"/>
              </w:rPr>
            </w:pPr>
            <w:r w:rsidRPr="0011336B">
              <w:rPr>
                <w:bCs/>
                <w:sz w:val="22"/>
                <w:szCs w:val="22"/>
              </w:rPr>
              <w:t xml:space="preserve">12,363,542,492,621.00 </w:t>
            </w:r>
            <w:r w:rsidRPr="0011336B">
              <w:rPr>
                <w:color w:val="000000"/>
                <w:sz w:val="22"/>
                <w:szCs w:val="22"/>
              </w:rPr>
              <w:t> </w:t>
            </w:r>
          </w:p>
        </w:tc>
        <w:tc>
          <w:tcPr>
            <w:tcW w:w="1371" w:type="dxa"/>
            <w:tcBorders>
              <w:top w:val="nil"/>
              <w:left w:val="nil"/>
              <w:bottom w:val="single" w:sz="4" w:space="0" w:color="auto"/>
              <w:right w:val="single" w:sz="4" w:space="0" w:color="auto"/>
            </w:tcBorders>
            <w:shd w:val="clear" w:color="auto" w:fill="auto"/>
            <w:noWrap/>
            <w:vAlign w:val="bottom"/>
            <w:hideMark/>
          </w:tcPr>
          <w:p w:rsidR="00880262" w:rsidRPr="0011336B" w:rsidRDefault="00880262" w:rsidP="00B52854">
            <w:pPr>
              <w:spacing w:line="360" w:lineRule="auto"/>
              <w:jc w:val="center"/>
              <w:rPr>
                <w:color w:val="000000"/>
                <w:sz w:val="22"/>
                <w:szCs w:val="22"/>
                <w:lang w:val="en-US" w:eastAsia="en-US"/>
              </w:rPr>
            </w:pPr>
            <w:r w:rsidRPr="0011336B">
              <w:rPr>
                <w:color w:val="000000"/>
                <w:sz w:val="22"/>
                <w:szCs w:val="22"/>
              </w:rPr>
              <w:t>0.734317017</w:t>
            </w:r>
          </w:p>
        </w:tc>
      </w:tr>
      <w:tr w:rsidR="00880262" w:rsidRPr="000552B3" w:rsidTr="00B52854">
        <w:trPr>
          <w:trHeight w:val="239"/>
          <w:jc w:val="center"/>
        </w:trPr>
        <w:tc>
          <w:tcPr>
            <w:tcW w:w="840" w:type="dxa"/>
            <w:tcBorders>
              <w:top w:val="nil"/>
              <w:left w:val="single" w:sz="4" w:space="0" w:color="auto"/>
              <w:bottom w:val="single" w:sz="4" w:space="0" w:color="auto"/>
              <w:right w:val="single" w:sz="4" w:space="0" w:color="auto"/>
            </w:tcBorders>
            <w:shd w:val="clear" w:color="auto" w:fill="auto"/>
            <w:noWrap/>
            <w:vAlign w:val="bottom"/>
          </w:tcPr>
          <w:p w:rsidR="00880262" w:rsidRPr="003A0722" w:rsidRDefault="00880262" w:rsidP="00B52854">
            <w:pPr>
              <w:spacing w:line="360" w:lineRule="auto"/>
              <w:jc w:val="center"/>
              <w:rPr>
                <w:b/>
                <w:bCs/>
                <w:color w:val="000000"/>
                <w:sz w:val="22"/>
                <w:szCs w:val="22"/>
                <w:lang w:val="en-US" w:eastAsia="en-US"/>
              </w:rPr>
            </w:pPr>
            <w:r w:rsidRPr="003A0722">
              <w:rPr>
                <w:b/>
                <w:bCs/>
                <w:color w:val="000000"/>
                <w:sz w:val="22"/>
                <w:szCs w:val="22"/>
              </w:rPr>
              <w:t>Total</w:t>
            </w:r>
          </w:p>
        </w:tc>
        <w:tc>
          <w:tcPr>
            <w:tcW w:w="2251" w:type="dxa"/>
            <w:tcBorders>
              <w:top w:val="nil"/>
              <w:left w:val="nil"/>
              <w:bottom w:val="single" w:sz="4" w:space="0" w:color="auto"/>
              <w:right w:val="single" w:sz="4" w:space="0" w:color="auto"/>
            </w:tcBorders>
            <w:shd w:val="clear" w:color="auto" w:fill="auto"/>
            <w:noWrap/>
            <w:vAlign w:val="center"/>
          </w:tcPr>
          <w:p w:rsidR="00880262" w:rsidRPr="003A0722" w:rsidRDefault="00880262" w:rsidP="00B52854">
            <w:pPr>
              <w:spacing w:line="360" w:lineRule="auto"/>
              <w:jc w:val="center"/>
              <w:rPr>
                <w:b/>
                <w:bCs/>
                <w:color w:val="000000"/>
                <w:sz w:val="22"/>
                <w:szCs w:val="22"/>
                <w:lang w:val="en-US" w:eastAsia="en-US"/>
              </w:rPr>
            </w:pPr>
            <w:r w:rsidRPr="003A0722">
              <w:rPr>
                <w:b/>
                <w:bCs/>
                <w:color w:val="000000"/>
                <w:sz w:val="22"/>
                <w:szCs w:val="22"/>
              </w:rPr>
              <w:t>64,604,901,571,031.70</w:t>
            </w:r>
          </w:p>
        </w:tc>
        <w:tc>
          <w:tcPr>
            <w:tcW w:w="2141" w:type="dxa"/>
            <w:tcBorders>
              <w:top w:val="nil"/>
              <w:left w:val="nil"/>
              <w:bottom w:val="single" w:sz="4" w:space="0" w:color="auto"/>
              <w:right w:val="single" w:sz="4" w:space="0" w:color="auto"/>
            </w:tcBorders>
            <w:shd w:val="clear" w:color="auto" w:fill="auto"/>
            <w:noWrap/>
            <w:vAlign w:val="center"/>
          </w:tcPr>
          <w:p w:rsidR="00880262" w:rsidRPr="003A0722" w:rsidRDefault="00880262" w:rsidP="00B52854">
            <w:pPr>
              <w:spacing w:line="360" w:lineRule="auto"/>
              <w:jc w:val="center"/>
              <w:rPr>
                <w:b/>
                <w:bCs/>
                <w:color w:val="000000"/>
                <w:sz w:val="22"/>
                <w:szCs w:val="22"/>
                <w:lang w:val="en-US" w:eastAsia="en-US"/>
              </w:rPr>
            </w:pPr>
            <w:r w:rsidRPr="003A0722">
              <w:rPr>
                <w:b/>
                <w:bCs/>
                <w:color w:val="000000"/>
                <w:sz w:val="22"/>
                <w:szCs w:val="22"/>
              </w:rPr>
              <w:t>4,121,497,754,191.89</w:t>
            </w:r>
          </w:p>
        </w:tc>
        <w:tc>
          <w:tcPr>
            <w:tcW w:w="1371" w:type="dxa"/>
            <w:tcBorders>
              <w:top w:val="nil"/>
              <w:left w:val="nil"/>
              <w:bottom w:val="single" w:sz="4" w:space="0" w:color="auto"/>
              <w:right w:val="single" w:sz="4" w:space="0" w:color="auto"/>
            </w:tcBorders>
            <w:shd w:val="clear" w:color="auto" w:fill="auto"/>
            <w:noWrap/>
            <w:vAlign w:val="center"/>
          </w:tcPr>
          <w:p w:rsidR="00880262" w:rsidRPr="003A0722" w:rsidRDefault="00880262" w:rsidP="00B52854">
            <w:pPr>
              <w:spacing w:line="360" w:lineRule="auto"/>
              <w:jc w:val="center"/>
              <w:rPr>
                <w:b/>
                <w:color w:val="000000"/>
                <w:sz w:val="22"/>
                <w:szCs w:val="22"/>
                <w:lang w:val="en-US" w:eastAsia="en-US"/>
              </w:rPr>
            </w:pPr>
            <w:r w:rsidRPr="003A0722">
              <w:rPr>
                <w:b/>
                <w:color w:val="000000"/>
                <w:sz w:val="22"/>
                <w:szCs w:val="22"/>
              </w:rPr>
              <w:t>0.063795434</w:t>
            </w:r>
          </w:p>
        </w:tc>
        <w:tc>
          <w:tcPr>
            <w:tcW w:w="2361" w:type="dxa"/>
            <w:tcBorders>
              <w:top w:val="nil"/>
              <w:left w:val="nil"/>
              <w:bottom w:val="single" w:sz="4" w:space="0" w:color="auto"/>
              <w:right w:val="single" w:sz="4" w:space="0" w:color="auto"/>
            </w:tcBorders>
            <w:shd w:val="clear" w:color="auto" w:fill="auto"/>
            <w:noWrap/>
            <w:vAlign w:val="center"/>
          </w:tcPr>
          <w:p w:rsidR="00880262" w:rsidRPr="003A0722" w:rsidRDefault="00880262" w:rsidP="00B52854">
            <w:pPr>
              <w:spacing w:line="360" w:lineRule="auto"/>
              <w:jc w:val="center"/>
              <w:rPr>
                <w:b/>
                <w:bCs/>
                <w:color w:val="000000"/>
                <w:sz w:val="22"/>
                <w:szCs w:val="22"/>
                <w:lang w:val="en-US" w:eastAsia="en-US"/>
              </w:rPr>
            </w:pPr>
            <w:r w:rsidRPr="003A0722">
              <w:rPr>
                <w:b/>
                <w:bCs/>
                <w:color w:val="000000"/>
                <w:sz w:val="22"/>
                <w:szCs w:val="22"/>
              </w:rPr>
              <w:t>48,403,537,913,447.50</w:t>
            </w:r>
          </w:p>
        </w:tc>
        <w:tc>
          <w:tcPr>
            <w:tcW w:w="1371" w:type="dxa"/>
            <w:tcBorders>
              <w:top w:val="nil"/>
              <w:left w:val="nil"/>
              <w:bottom w:val="single" w:sz="4" w:space="0" w:color="auto"/>
              <w:right w:val="single" w:sz="4" w:space="0" w:color="auto"/>
            </w:tcBorders>
            <w:shd w:val="clear" w:color="auto" w:fill="auto"/>
            <w:noWrap/>
            <w:vAlign w:val="bottom"/>
          </w:tcPr>
          <w:p w:rsidR="00880262" w:rsidRPr="003A0722" w:rsidRDefault="00880262" w:rsidP="00B52854">
            <w:pPr>
              <w:spacing w:line="360" w:lineRule="auto"/>
              <w:jc w:val="center"/>
              <w:rPr>
                <w:b/>
                <w:color w:val="000000"/>
                <w:sz w:val="22"/>
                <w:szCs w:val="22"/>
                <w:lang w:val="en-US" w:eastAsia="en-US"/>
              </w:rPr>
            </w:pPr>
            <w:r w:rsidRPr="003A0722">
              <w:rPr>
                <w:b/>
                <w:color w:val="000000"/>
                <w:sz w:val="22"/>
                <w:szCs w:val="22"/>
              </w:rPr>
              <w:t>0.749223925</w:t>
            </w:r>
          </w:p>
        </w:tc>
      </w:tr>
    </w:tbl>
    <w:p w:rsidR="00941EE0" w:rsidRPr="00072654" w:rsidRDefault="00EB210D" w:rsidP="00072654">
      <w:pPr>
        <w:spacing w:line="360" w:lineRule="auto"/>
        <w:rPr>
          <w:i/>
          <w:lang w:val="en-US"/>
        </w:rPr>
      </w:pPr>
      <w:proofErr w:type="spellStart"/>
      <w:proofErr w:type="gramStart"/>
      <w:r>
        <w:rPr>
          <w:i/>
          <w:lang w:val="en-US"/>
        </w:rPr>
        <w:t>Sumber</w:t>
      </w:r>
      <w:proofErr w:type="spellEnd"/>
      <w:r>
        <w:rPr>
          <w:i/>
          <w:lang w:val="en-US"/>
        </w:rPr>
        <w:t xml:space="preserve"> :</w:t>
      </w:r>
      <w:proofErr w:type="gramEnd"/>
      <w:r>
        <w:rPr>
          <w:i/>
          <w:lang w:val="en-US"/>
        </w:rPr>
        <w:t xml:space="preserve"> </w:t>
      </w:r>
      <w:r w:rsidR="008F71A4">
        <w:rPr>
          <w:i/>
          <w:lang w:val="en-US"/>
        </w:rPr>
        <w:t xml:space="preserve">DPKD </w:t>
      </w:r>
      <w:proofErr w:type="spellStart"/>
      <w:r w:rsidR="00941EE0" w:rsidRPr="002F084C">
        <w:rPr>
          <w:i/>
          <w:lang w:val="en-US"/>
        </w:rPr>
        <w:t>Sumbar</w:t>
      </w:r>
      <w:proofErr w:type="spellEnd"/>
      <w:r w:rsidR="00941EE0" w:rsidRPr="002F084C">
        <w:rPr>
          <w:i/>
          <w:lang w:val="en-US"/>
        </w:rPr>
        <w:t xml:space="preserve">, </w:t>
      </w:r>
      <w:proofErr w:type="spellStart"/>
      <w:r w:rsidR="00941EE0" w:rsidRPr="002F084C">
        <w:rPr>
          <w:i/>
          <w:lang w:val="en-US"/>
        </w:rPr>
        <w:t>diolah</w:t>
      </w:r>
      <w:proofErr w:type="spellEnd"/>
    </w:p>
    <w:p w:rsidR="00DE4C07" w:rsidRDefault="003657FA" w:rsidP="00DE4C07">
      <w:pPr>
        <w:spacing w:line="480" w:lineRule="auto"/>
        <w:ind w:left="360" w:firstLine="810"/>
        <w:jc w:val="both"/>
        <w:rPr>
          <w:lang w:val="id-ID"/>
        </w:rPr>
      </w:pPr>
      <w:proofErr w:type="spellStart"/>
      <w:r>
        <w:rPr>
          <w:lang w:val="en-US"/>
        </w:rPr>
        <w:lastRenderedPageBreak/>
        <w:t>Berdasarkan</w:t>
      </w:r>
      <w:proofErr w:type="spellEnd"/>
      <w:r>
        <w:rPr>
          <w:lang w:val="en-US"/>
        </w:rPr>
        <w:t xml:space="preserve"> </w:t>
      </w:r>
      <w:proofErr w:type="spellStart"/>
      <w:r>
        <w:rPr>
          <w:lang w:val="en-US"/>
        </w:rPr>
        <w:t>tabel</w:t>
      </w:r>
      <w:proofErr w:type="spellEnd"/>
      <w:r>
        <w:rPr>
          <w:lang w:val="en-US"/>
        </w:rPr>
        <w:t xml:space="preserve"> </w:t>
      </w:r>
      <w:r w:rsidR="00FA02D5">
        <w:rPr>
          <w:lang w:val="en-US"/>
        </w:rPr>
        <w:t xml:space="preserve">3 </w:t>
      </w:r>
      <w:proofErr w:type="spellStart"/>
      <w:r w:rsidR="00FA02D5">
        <w:rPr>
          <w:lang w:val="en-US"/>
        </w:rPr>
        <w:t>menunjukkan</w:t>
      </w:r>
      <w:proofErr w:type="spellEnd"/>
      <w:r w:rsidR="00FA02D5">
        <w:rPr>
          <w:lang w:val="en-US"/>
        </w:rPr>
        <w:t xml:space="preserve"> </w:t>
      </w:r>
      <w:proofErr w:type="spellStart"/>
      <w:r w:rsidR="00FA02D5">
        <w:rPr>
          <w:lang w:val="en-US"/>
        </w:rPr>
        <w:t>penurunan</w:t>
      </w:r>
      <w:proofErr w:type="spellEnd"/>
      <w:r w:rsidR="00FA02D5">
        <w:rPr>
          <w:lang w:val="en-US"/>
        </w:rPr>
        <w:t xml:space="preserve"> </w:t>
      </w:r>
      <w:proofErr w:type="spellStart"/>
      <w:r w:rsidR="00FA02D5">
        <w:rPr>
          <w:lang w:val="en-US"/>
        </w:rPr>
        <w:t>indeks</w:t>
      </w:r>
      <w:proofErr w:type="spellEnd"/>
      <w:r w:rsidR="00FA02D5">
        <w:rPr>
          <w:lang w:val="en-US"/>
        </w:rPr>
        <w:t xml:space="preserve"> </w:t>
      </w:r>
      <w:proofErr w:type="spellStart"/>
      <w:r w:rsidR="00FA02D5">
        <w:rPr>
          <w:lang w:val="en-US"/>
        </w:rPr>
        <w:t>terhadap</w:t>
      </w:r>
      <w:proofErr w:type="spellEnd"/>
      <w:r w:rsidR="00FA02D5">
        <w:rPr>
          <w:lang w:val="en-US"/>
        </w:rPr>
        <w:t xml:space="preserve"> </w:t>
      </w:r>
      <w:proofErr w:type="spellStart"/>
      <w:r w:rsidR="00FA02D5">
        <w:rPr>
          <w:lang w:val="en-US"/>
        </w:rPr>
        <w:t>belanja</w:t>
      </w:r>
      <w:proofErr w:type="spellEnd"/>
      <w:r w:rsidR="00FA02D5">
        <w:rPr>
          <w:lang w:val="en-US"/>
        </w:rPr>
        <w:t xml:space="preserve"> </w:t>
      </w:r>
      <w:proofErr w:type="spellStart"/>
      <w:r w:rsidR="00FA02D5">
        <w:rPr>
          <w:lang w:val="en-US"/>
        </w:rPr>
        <w:t>daerah</w:t>
      </w:r>
      <w:proofErr w:type="spellEnd"/>
      <w:r w:rsidR="00FA02D5">
        <w:rPr>
          <w:lang w:val="en-US"/>
        </w:rPr>
        <w:t xml:space="preserve"> </w:t>
      </w:r>
      <w:proofErr w:type="spellStart"/>
      <w:r w:rsidR="00FA02D5">
        <w:rPr>
          <w:lang w:val="en-US"/>
        </w:rPr>
        <w:t>pada</w:t>
      </w:r>
      <w:proofErr w:type="spellEnd"/>
      <w:r w:rsidR="00FA02D5">
        <w:rPr>
          <w:lang w:val="en-US"/>
        </w:rPr>
        <w:t xml:space="preserve"> PAD </w:t>
      </w:r>
      <w:proofErr w:type="spellStart"/>
      <w:r w:rsidR="00FA02D5">
        <w:rPr>
          <w:lang w:val="en-US"/>
        </w:rPr>
        <w:t>tahun</w:t>
      </w:r>
      <w:proofErr w:type="spellEnd"/>
      <w:r w:rsidR="00FA02D5">
        <w:rPr>
          <w:lang w:val="en-US"/>
        </w:rPr>
        <w:t xml:space="preserve"> 2013 </w:t>
      </w:r>
      <w:proofErr w:type="spellStart"/>
      <w:r w:rsidR="00EB210D">
        <w:rPr>
          <w:lang w:val="en-US"/>
        </w:rPr>
        <w:t>dan</w:t>
      </w:r>
      <w:proofErr w:type="spellEnd"/>
      <w:r w:rsidR="00EB210D">
        <w:rPr>
          <w:lang w:val="en-US"/>
        </w:rPr>
        <w:t xml:space="preserve"> </w:t>
      </w:r>
      <w:proofErr w:type="spellStart"/>
      <w:r w:rsidR="00EB210D">
        <w:rPr>
          <w:lang w:val="en-US"/>
        </w:rPr>
        <w:t>pada</w:t>
      </w:r>
      <w:proofErr w:type="spellEnd"/>
      <w:r w:rsidR="00EB210D">
        <w:rPr>
          <w:lang w:val="en-US"/>
        </w:rPr>
        <w:t xml:space="preserve"> </w:t>
      </w:r>
      <w:proofErr w:type="spellStart"/>
      <w:proofErr w:type="gramStart"/>
      <w:r w:rsidR="00FA02D5">
        <w:rPr>
          <w:lang w:val="en-US"/>
        </w:rPr>
        <w:t>dana</w:t>
      </w:r>
      <w:proofErr w:type="spellEnd"/>
      <w:proofErr w:type="gramEnd"/>
      <w:r w:rsidR="00FA02D5">
        <w:rPr>
          <w:lang w:val="en-US"/>
        </w:rPr>
        <w:t xml:space="preserve"> </w:t>
      </w:r>
      <w:proofErr w:type="spellStart"/>
      <w:r w:rsidR="00FA02D5">
        <w:rPr>
          <w:lang w:val="en-US"/>
        </w:rPr>
        <w:t>perim</w:t>
      </w:r>
      <w:r>
        <w:rPr>
          <w:lang w:val="en-US"/>
        </w:rPr>
        <w:t>bangan</w:t>
      </w:r>
      <w:proofErr w:type="spellEnd"/>
      <w:r>
        <w:rPr>
          <w:lang w:val="en-US"/>
        </w:rPr>
        <w:t xml:space="preserve"> </w:t>
      </w:r>
      <w:proofErr w:type="spellStart"/>
      <w:r>
        <w:rPr>
          <w:lang w:val="en-US"/>
        </w:rPr>
        <w:t>pada</w:t>
      </w:r>
      <w:proofErr w:type="spellEnd"/>
      <w:r>
        <w:rPr>
          <w:lang w:val="en-US"/>
        </w:rPr>
        <w:t xml:space="preserve"> </w:t>
      </w:r>
      <w:proofErr w:type="spellStart"/>
      <w:r>
        <w:rPr>
          <w:lang w:val="en-US"/>
        </w:rPr>
        <w:t>tahun</w:t>
      </w:r>
      <w:proofErr w:type="spellEnd"/>
      <w:r>
        <w:rPr>
          <w:lang w:val="en-US"/>
        </w:rPr>
        <w:t xml:space="preserve"> 2014. </w:t>
      </w:r>
      <w:proofErr w:type="spellStart"/>
      <w:r>
        <w:rPr>
          <w:lang w:val="en-US"/>
        </w:rPr>
        <w:t>Tabel</w:t>
      </w:r>
      <w:proofErr w:type="spellEnd"/>
      <w:r>
        <w:rPr>
          <w:lang w:val="en-US"/>
        </w:rPr>
        <w:t xml:space="preserve"> </w:t>
      </w:r>
      <w:r w:rsidR="00FA02D5">
        <w:rPr>
          <w:lang w:val="en-US"/>
        </w:rPr>
        <w:t xml:space="preserve">3 </w:t>
      </w:r>
      <w:proofErr w:type="spellStart"/>
      <w:r w:rsidR="00FA02D5">
        <w:rPr>
          <w:lang w:val="en-US"/>
        </w:rPr>
        <w:t>juga</w:t>
      </w:r>
      <w:proofErr w:type="spellEnd"/>
      <w:r w:rsidR="00FA02D5">
        <w:rPr>
          <w:lang w:val="en-US"/>
        </w:rPr>
        <w:t xml:space="preserve"> </w:t>
      </w:r>
      <w:proofErr w:type="spellStart"/>
      <w:r w:rsidR="00FA02D5">
        <w:rPr>
          <w:lang w:val="en-US"/>
        </w:rPr>
        <w:t>menunjukkan</w:t>
      </w:r>
      <w:proofErr w:type="spellEnd"/>
      <w:r w:rsidR="00FA02D5">
        <w:rPr>
          <w:lang w:val="en-US"/>
        </w:rPr>
        <w:t xml:space="preserve"> </w:t>
      </w:r>
      <w:proofErr w:type="spellStart"/>
      <w:r w:rsidR="00821220">
        <w:rPr>
          <w:lang w:val="en-US"/>
        </w:rPr>
        <w:t>indeks</w:t>
      </w:r>
      <w:proofErr w:type="spellEnd"/>
      <w:r w:rsidR="00821220">
        <w:rPr>
          <w:lang w:val="en-US"/>
        </w:rPr>
        <w:t xml:space="preserve"> </w:t>
      </w:r>
      <w:r w:rsidR="00941EE0">
        <w:rPr>
          <w:lang w:val="en-US"/>
        </w:rPr>
        <w:t xml:space="preserve">PAD </w:t>
      </w:r>
      <w:proofErr w:type="spellStart"/>
      <w:r w:rsidR="00941EE0">
        <w:rPr>
          <w:lang w:val="en-US"/>
        </w:rPr>
        <w:t>terhadap</w:t>
      </w:r>
      <w:proofErr w:type="spellEnd"/>
      <w:r w:rsidR="00941EE0">
        <w:rPr>
          <w:lang w:val="en-US"/>
        </w:rPr>
        <w:t xml:space="preserve"> </w:t>
      </w:r>
      <w:proofErr w:type="spellStart"/>
      <w:r w:rsidR="00941EE0">
        <w:rPr>
          <w:lang w:val="en-US"/>
        </w:rPr>
        <w:t>belanja</w:t>
      </w:r>
      <w:proofErr w:type="spellEnd"/>
      <w:r w:rsidR="00941EE0">
        <w:rPr>
          <w:lang w:val="en-US"/>
        </w:rPr>
        <w:t xml:space="preserve"> </w:t>
      </w:r>
      <w:proofErr w:type="spellStart"/>
      <w:r w:rsidR="00941EE0">
        <w:rPr>
          <w:lang w:val="en-US"/>
        </w:rPr>
        <w:t>daerah</w:t>
      </w:r>
      <w:proofErr w:type="spellEnd"/>
      <w:r w:rsidR="00941EE0">
        <w:rPr>
          <w:lang w:val="en-US"/>
        </w:rPr>
        <w:t xml:space="preserve"> </w:t>
      </w:r>
      <w:proofErr w:type="spellStart"/>
      <w:r w:rsidR="00941EE0">
        <w:rPr>
          <w:lang w:val="en-US"/>
        </w:rPr>
        <w:t>lebih</w:t>
      </w:r>
      <w:proofErr w:type="spellEnd"/>
      <w:r w:rsidR="00941EE0">
        <w:rPr>
          <w:lang w:val="en-US"/>
        </w:rPr>
        <w:t xml:space="preserve"> </w:t>
      </w:r>
      <w:proofErr w:type="spellStart"/>
      <w:r w:rsidR="00941EE0">
        <w:rPr>
          <w:lang w:val="en-US"/>
        </w:rPr>
        <w:t>kecil</w:t>
      </w:r>
      <w:proofErr w:type="spellEnd"/>
      <w:r w:rsidR="00941EE0">
        <w:rPr>
          <w:lang w:val="en-US"/>
        </w:rPr>
        <w:t xml:space="preserve"> </w:t>
      </w:r>
      <w:proofErr w:type="spellStart"/>
      <w:r w:rsidR="00941EE0">
        <w:rPr>
          <w:lang w:val="en-US"/>
        </w:rPr>
        <w:t>daripada</w:t>
      </w:r>
      <w:proofErr w:type="spellEnd"/>
      <w:r w:rsidR="00941EE0">
        <w:rPr>
          <w:lang w:val="en-US"/>
        </w:rPr>
        <w:t xml:space="preserve"> </w:t>
      </w:r>
      <w:proofErr w:type="spellStart"/>
      <w:r w:rsidR="00941EE0">
        <w:rPr>
          <w:lang w:val="en-US"/>
        </w:rPr>
        <w:t>indeks</w:t>
      </w:r>
      <w:proofErr w:type="spellEnd"/>
      <w:r w:rsidR="00941EE0">
        <w:rPr>
          <w:lang w:val="en-US"/>
        </w:rPr>
        <w:t xml:space="preserve"> </w:t>
      </w:r>
      <w:proofErr w:type="spellStart"/>
      <w:proofErr w:type="gramStart"/>
      <w:r w:rsidR="00941EE0">
        <w:rPr>
          <w:lang w:val="en-US"/>
        </w:rPr>
        <w:t>dana</w:t>
      </w:r>
      <w:proofErr w:type="spellEnd"/>
      <w:proofErr w:type="gramEnd"/>
      <w:r w:rsidR="00941EE0">
        <w:rPr>
          <w:lang w:val="en-US"/>
        </w:rPr>
        <w:t xml:space="preserve"> </w:t>
      </w:r>
      <w:proofErr w:type="spellStart"/>
      <w:r w:rsidR="00941EE0">
        <w:rPr>
          <w:lang w:val="en-US"/>
        </w:rPr>
        <w:t>peri</w:t>
      </w:r>
      <w:r w:rsidR="00F95F56">
        <w:rPr>
          <w:lang w:val="en-US"/>
        </w:rPr>
        <w:t>mbangan</w:t>
      </w:r>
      <w:proofErr w:type="spellEnd"/>
      <w:r w:rsidR="00F95F56">
        <w:rPr>
          <w:lang w:val="en-US"/>
        </w:rPr>
        <w:t xml:space="preserve"> </w:t>
      </w:r>
      <w:proofErr w:type="spellStart"/>
      <w:r w:rsidR="00F95F56">
        <w:rPr>
          <w:lang w:val="en-US"/>
        </w:rPr>
        <w:t>terhadap</w:t>
      </w:r>
      <w:proofErr w:type="spellEnd"/>
      <w:r w:rsidR="00F95F56">
        <w:rPr>
          <w:lang w:val="en-US"/>
        </w:rPr>
        <w:t xml:space="preserve"> </w:t>
      </w:r>
      <w:proofErr w:type="spellStart"/>
      <w:r w:rsidR="00F95F56">
        <w:rPr>
          <w:lang w:val="en-US"/>
        </w:rPr>
        <w:t>belanja</w:t>
      </w:r>
      <w:proofErr w:type="spellEnd"/>
      <w:r w:rsidR="00F95F56">
        <w:rPr>
          <w:lang w:val="en-US"/>
        </w:rPr>
        <w:t xml:space="preserve"> </w:t>
      </w:r>
      <w:proofErr w:type="spellStart"/>
      <w:r w:rsidR="00F95F56">
        <w:rPr>
          <w:lang w:val="en-US"/>
        </w:rPr>
        <w:t>daerah</w:t>
      </w:r>
      <w:proofErr w:type="spellEnd"/>
      <w:r w:rsidR="00F95F56">
        <w:rPr>
          <w:lang w:val="en-US"/>
        </w:rPr>
        <w:t>,</w:t>
      </w:r>
      <w:r w:rsidR="00B52854">
        <w:rPr>
          <w:lang w:val="id-ID"/>
        </w:rPr>
        <w:t xml:space="preserve"> </w:t>
      </w:r>
      <w:proofErr w:type="spellStart"/>
      <w:r w:rsidR="00F95F56">
        <w:rPr>
          <w:lang w:val="en-US"/>
        </w:rPr>
        <w:t>sementara</w:t>
      </w:r>
      <w:proofErr w:type="spellEnd"/>
      <w:r w:rsidR="00F95F56">
        <w:rPr>
          <w:lang w:val="en-US"/>
        </w:rPr>
        <w:t xml:space="preserve"> </w:t>
      </w:r>
      <w:proofErr w:type="spellStart"/>
      <w:r w:rsidR="00F95F56">
        <w:rPr>
          <w:lang w:val="en-US"/>
        </w:rPr>
        <w:t>provinsi</w:t>
      </w:r>
      <w:proofErr w:type="spellEnd"/>
      <w:r w:rsidR="00B52854">
        <w:rPr>
          <w:lang w:val="id-ID"/>
        </w:rPr>
        <w:t xml:space="preserve"> </w:t>
      </w:r>
      <w:r w:rsidR="00F95F56">
        <w:rPr>
          <w:lang w:val="en-US"/>
        </w:rPr>
        <w:t>Sumatera Barat</w:t>
      </w:r>
      <w:r w:rsidR="00B52854">
        <w:rPr>
          <w:lang w:val="id-ID"/>
        </w:rPr>
        <w:t xml:space="preserve"> </w:t>
      </w:r>
      <w:proofErr w:type="spellStart"/>
      <w:r w:rsidR="00F95F56">
        <w:rPr>
          <w:lang w:val="en-US"/>
        </w:rPr>
        <w:t>memiliki</w:t>
      </w:r>
      <w:proofErr w:type="spellEnd"/>
      <w:r w:rsidR="00F95F56">
        <w:rPr>
          <w:lang w:val="en-US"/>
        </w:rPr>
        <w:t xml:space="preserve"> </w:t>
      </w:r>
      <w:proofErr w:type="spellStart"/>
      <w:r w:rsidR="00F95F56">
        <w:rPr>
          <w:lang w:val="en-US"/>
        </w:rPr>
        <w:t>belanja</w:t>
      </w:r>
      <w:proofErr w:type="spellEnd"/>
      <w:r w:rsidR="00F95F56">
        <w:rPr>
          <w:lang w:val="en-US"/>
        </w:rPr>
        <w:t xml:space="preserve"> yang </w:t>
      </w:r>
      <w:proofErr w:type="spellStart"/>
      <w:r w:rsidR="00F95F56">
        <w:rPr>
          <w:lang w:val="en-US"/>
        </w:rPr>
        <w:t>besar</w:t>
      </w:r>
      <w:proofErr w:type="spellEnd"/>
      <w:r w:rsidR="00F95F56">
        <w:rPr>
          <w:lang w:val="en-US"/>
        </w:rPr>
        <w:t>.</w:t>
      </w:r>
      <w:r w:rsidR="00B52854">
        <w:rPr>
          <w:lang w:val="id-ID"/>
        </w:rPr>
        <w:t xml:space="preserve"> </w:t>
      </w:r>
      <w:proofErr w:type="spellStart"/>
      <w:r w:rsidR="00F95F56">
        <w:rPr>
          <w:lang w:val="en-US"/>
        </w:rPr>
        <w:t>Akibatnya</w:t>
      </w:r>
      <w:proofErr w:type="spellEnd"/>
      <w:r w:rsidR="00F95F56">
        <w:rPr>
          <w:lang w:val="en-US"/>
        </w:rPr>
        <w:t xml:space="preserve"> </w:t>
      </w:r>
      <w:proofErr w:type="spellStart"/>
      <w:r w:rsidR="00F95F56">
        <w:rPr>
          <w:lang w:val="en-US"/>
        </w:rPr>
        <w:t>ketergantungan</w:t>
      </w:r>
      <w:proofErr w:type="spellEnd"/>
      <w:r w:rsidR="00F95F56">
        <w:rPr>
          <w:lang w:val="en-US"/>
        </w:rPr>
        <w:t xml:space="preserve"> </w:t>
      </w:r>
      <w:proofErr w:type="spellStart"/>
      <w:r w:rsidR="00F95F56">
        <w:rPr>
          <w:lang w:val="en-US"/>
        </w:rPr>
        <w:t>daerah</w:t>
      </w:r>
      <w:proofErr w:type="spellEnd"/>
      <w:r w:rsidR="00F95F56">
        <w:rPr>
          <w:lang w:val="en-US"/>
        </w:rPr>
        <w:t xml:space="preserve"> </w:t>
      </w:r>
      <w:proofErr w:type="spellStart"/>
      <w:r w:rsidR="00F95F56">
        <w:rPr>
          <w:lang w:val="en-US"/>
        </w:rPr>
        <w:t>terhadap</w:t>
      </w:r>
      <w:proofErr w:type="spellEnd"/>
      <w:r w:rsidR="00F95F56">
        <w:rPr>
          <w:lang w:val="en-US"/>
        </w:rPr>
        <w:t xml:space="preserve"> </w:t>
      </w:r>
      <w:proofErr w:type="spellStart"/>
      <w:r w:rsidR="00F95F56">
        <w:rPr>
          <w:lang w:val="en-US"/>
        </w:rPr>
        <w:t>pusat</w:t>
      </w:r>
      <w:proofErr w:type="spellEnd"/>
      <w:r w:rsidR="00F95F56">
        <w:rPr>
          <w:lang w:val="en-US"/>
        </w:rPr>
        <w:t xml:space="preserve"> </w:t>
      </w:r>
      <w:proofErr w:type="spellStart"/>
      <w:r w:rsidR="00F95F56">
        <w:rPr>
          <w:lang w:val="en-US"/>
        </w:rPr>
        <w:t>juga</w:t>
      </w:r>
      <w:proofErr w:type="spellEnd"/>
      <w:r w:rsidR="00F95F56">
        <w:rPr>
          <w:lang w:val="en-US"/>
        </w:rPr>
        <w:t xml:space="preserve"> </w:t>
      </w:r>
      <w:proofErr w:type="spellStart"/>
      <w:r w:rsidR="00F95F56">
        <w:rPr>
          <w:lang w:val="en-US"/>
        </w:rPr>
        <w:t>lebih</w:t>
      </w:r>
      <w:proofErr w:type="spellEnd"/>
      <w:r w:rsidR="00F95F56">
        <w:rPr>
          <w:lang w:val="en-US"/>
        </w:rPr>
        <w:t xml:space="preserve"> </w:t>
      </w:r>
      <w:proofErr w:type="spellStart"/>
      <w:r w:rsidR="00F95F56">
        <w:rPr>
          <w:lang w:val="en-US"/>
        </w:rPr>
        <w:t>besar</w:t>
      </w:r>
      <w:proofErr w:type="spellEnd"/>
      <w:r w:rsidR="00F95F56">
        <w:rPr>
          <w:lang w:val="en-US"/>
        </w:rPr>
        <w:t xml:space="preserve"> </w:t>
      </w:r>
      <w:proofErr w:type="spellStart"/>
      <w:r w:rsidR="00F95F56">
        <w:rPr>
          <w:lang w:val="en-US"/>
        </w:rPr>
        <w:t>ditandai</w:t>
      </w:r>
      <w:proofErr w:type="spellEnd"/>
      <w:r w:rsidR="00F95F56">
        <w:rPr>
          <w:lang w:val="en-US"/>
        </w:rPr>
        <w:t xml:space="preserve"> </w:t>
      </w:r>
      <w:proofErr w:type="spellStart"/>
      <w:r w:rsidR="00F95F56">
        <w:rPr>
          <w:lang w:val="en-US"/>
        </w:rPr>
        <w:t>oleh</w:t>
      </w:r>
      <w:proofErr w:type="spellEnd"/>
      <w:r w:rsidR="00F95F56">
        <w:rPr>
          <w:lang w:val="en-US"/>
        </w:rPr>
        <w:t xml:space="preserve"> </w:t>
      </w:r>
      <w:proofErr w:type="spellStart"/>
      <w:r w:rsidR="00F95F56">
        <w:rPr>
          <w:lang w:val="en-US"/>
        </w:rPr>
        <w:t>besarnya</w:t>
      </w:r>
      <w:proofErr w:type="spellEnd"/>
      <w:r w:rsidR="00F95F56">
        <w:rPr>
          <w:lang w:val="en-US"/>
        </w:rPr>
        <w:t xml:space="preserve"> </w:t>
      </w:r>
      <w:proofErr w:type="spellStart"/>
      <w:r w:rsidR="00F95F56">
        <w:rPr>
          <w:lang w:val="en-US"/>
        </w:rPr>
        <w:t>suntikan</w:t>
      </w:r>
      <w:proofErr w:type="spellEnd"/>
      <w:r w:rsidR="00F95F56">
        <w:rPr>
          <w:lang w:val="en-US"/>
        </w:rPr>
        <w:t xml:space="preserve"> </w:t>
      </w:r>
      <w:proofErr w:type="spellStart"/>
      <w:proofErr w:type="gramStart"/>
      <w:r w:rsidR="00F95F56">
        <w:rPr>
          <w:lang w:val="en-US"/>
        </w:rPr>
        <w:t>dana</w:t>
      </w:r>
      <w:proofErr w:type="spellEnd"/>
      <w:proofErr w:type="gramEnd"/>
      <w:r w:rsidR="00F95F56">
        <w:rPr>
          <w:lang w:val="en-US"/>
        </w:rPr>
        <w:t xml:space="preserve"> </w:t>
      </w:r>
      <w:proofErr w:type="spellStart"/>
      <w:r w:rsidR="00F95F56">
        <w:rPr>
          <w:lang w:val="en-US"/>
        </w:rPr>
        <w:t>perimbangan</w:t>
      </w:r>
      <w:proofErr w:type="spellEnd"/>
      <w:r w:rsidR="00F95F56">
        <w:rPr>
          <w:lang w:val="en-US"/>
        </w:rPr>
        <w:t xml:space="preserve"> </w:t>
      </w:r>
      <w:r w:rsidR="00ED1BD9">
        <w:rPr>
          <w:lang w:val="en-US"/>
        </w:rPr>
        <w:t xml:space="preserve">yang </w:t>
      </w:r>
      <w:proofErr w:type="spellStart"/>
      <w:r w:rsidR="00ED1BD9">
        <w:rPr>
          <w:lang w:val="en-US"/>
        </w:rPr>
        <w:t>diberikan</w:t>
      </w:r>
      <w:proofErr w:type="spellEnd"/>
      <w:r w:rsidR="00ED1BD9">
        <w:rPr>
          <w:lang w:val="en-US"/>
        </w:rPr>
        <w:t xml:space="preserve"> </w:t>
      </w:r>
      <w:proofErr w:type="spellStart"/>
      <w:r w:rsidR="00ED1BD9">
        <w:rPr>
          <w:lang w:val="en-US"/>
        </w:rPr>
        <w:t>oleh</w:t>
      </w:r>
      <w:proofErr w:type="spellEnd"/>
      <w:r w:rsidR="00ED1BD9">
        <w:rPr>
          <w:lang w:val="en-US"/>
        </w:rPr>
        <w:t xml:space="preserve"> </w:t>
      </w:r>
      <w:proofErr w:type="spellStart"/>
      <w:r w:rsidR="00ED1BD9">
        <w:rPr>
          <w:lang w:val="en-US"/>
        </w:rPr>
        <w:t>pemerintah</w:t>
      </w:r>
      <w:proofErr w:type="spellEnd"/>
      <w:r w:rsidR="00ED1BD9">
        <w:rPr>
          <w:lang w:val="en-US"/>
        </w:rPr>
        <w:t xml:space="preserve"> </w:t>
      </w:r>
      <w:proofErr w:type="spellStart"/>
      <w:r w:rsidR="00ED1BD9">
        <w:rPr>
          <w:lang w:val="en-US"/>
        </w:rPr>
        <w:t>pusat</w:t>
      </w:r>
      <w:proofErr w:type="spellEnd"/>
      <w:r w:rsidR="00ED1BD9">
        <w:rPr>
          <w:lang w:val="en-US"/>
        </w:rPr>
        <w:t>.</w:t>
      </w:r>
    </w:p>
    <w:p w:rsidR="00DE4C07" w:rsidRDefault="00071329" w:rsidP="00DE4C07">
      <w:pPr>
        <w:spacing w:line="480" w:lineRule="auto"/>
        <w:ind w:left="360" w:firstLine="810"/>
        <w:jc w:val="both"/>
        <w:rPr>
          <w:lang w:val="id-ID" w:eastAsia="id-ID"/>
        </w:rPr>
      </w:pPr>
      <w:r w:rsidRPr="00071329">
        <w:rPr>
          <w:lang w:val="id-ID" w:eastAsia="id-ID"/>
        </w:rPr>
        <w:t>Penelitian</w:t>
      </w:r>
      <w:r w:rsidR="00BA7958">
        <w:rPr>
          <w:lang w:val="id-ID" w:eastAsia="id-ID"/>
        </w:rPr>
        <w:t xml:space="preserve"> </w:t>
      </w:r>
      <w:proofErr w:type="spellStart"/>
      <w:r w:rsidR="00BA7958">
        <w:rPr>
          <w:lang w:val="en-US" w:eastAsia="id-ID"/>
        </w:rPr>
        <w:t>sejenis</w:t>
      </w:r>
      <w:proofErr w:type="spellEnd"/>
      <w:r w:rsidR="00BA7958">
        <w:rPr>
          <w:lang w:val="en-US" w:eastAsia="id-ID"/>
        </w:rPr>
        <w:t xml:space="preserve"> </w:t>
      </w:r>
      <w:proofErr w:type="spellStart"/>
      <w:r w:rsidR="00BA7958">
        <w:rPr>
          <w:lang w:val="en-US" w:eastAsia="id-ID"/>
        </w:rPr>
        <w:t>dilakukan</w:t>
      </w:r>
      <w:proofErr w:type="spellEnd"/>
      <w:r w:rsidR="00BA7958">
        <w:rPr>
          <w:lang w:val="en-US" w:eastAsia="id-ID"/>
        </w:rPr>
        <w:t xml:space="preserve"> </w:t>
      </w:r>
      <w:proofErr w:type="spellStart"/>
      <w:r w:rsidR="00BA7958">
        <w:rPr>
          <w:lang w:val="en-US" w:eastAsia="id-ID"/>
        </w:rPr>
        <w:t>oleh</w:t>
      </w:r>
      <w:proofErr w:type="spellEnd"/>
      <w:r w:rsidR="00BA7958">
        <w:rPr>
          <w:lang w:val="en-US" w:eastAsia="id-ID"/>
        </w:rPr>
        <w:t xml:space="preserve"> </w:t>
      </w:r>
      <w:r w:rsidR="00BA7958" w:rsidRPr="00616BFB">
        <w:rPr>
          <w:rFonts w:ascii="lucida grande" w:hAnsi="lucida grande"/>
          <w:lang w:val="id-ID" w:eastAsia="id-ID"/>
        </w:rPr>
        <w:t xml:space="preserve">Bayura (2009) </w:t>
      </w:r>
      <w:r w:rsidR="00BA7958">
        <w:rPr>
          <w:rFonts w:ascii="lucida grande" w:hAnsi="lucida grande"/>
          <w:lang w:val="en-US" w:eastAsia="id-ID"/>
        </w:rPr>
        <w:t xml:space="preserve">yang </w:t>
      </w:r>
      <w:r w:rsidR="00BA7958" w:rsidRPr="00616BFB">
        <w:rPr>
          <w:rFonts w:ascii="lucida grande" w:hAnsi="lucida grande"/>
          <w:lang w:val="id-ID" w:eastAsia="id-ID"/>
        </w:rPr>
        <w:t>meneliti tentang pengaruh PAD dan Dana Perim</w:t>
      </w:r>
      <w:r w:rsidR="00BA7958">
        <w:rPr>
          <w:rFonts w:ascii="lucida grande" w:hAnsi="lucida grande"/>
          <w:lang w:val="id-ID" w:eastAsia="id-ID"/>
        </w:rPr>
        <w:t>bangan terhadap belanja d</w:t>
      </w:r>
      <w:r w:rsidR="00BA7958" w:rsidRPr="00616BFB">
        <w:rPr>
          <w:rFonts w:ascii="lucida grande" w:hAnsi="lucida grande"/>
          <w:lang w:val="id-ID" w:eastAsia="id-ID"/>
        </w:rPr>
        <w:t>aerah pada Kabupaten/Kota di Sumatera Barat, dimana hasil pen</w:t>
      </w:r>
      <w:r w:rsidR="00BA7958">
        <w:rPr>
          <w:rFonts w:ascii="lucida grande" w:hAnsi="lucida grande"/>
          <w:lang w:val="id-ID" w:eastAsia="id-ID"/>
        </w:rPr>
        <w:t>elitiannya menunjukkan PAD dan dana p</w:t>
      </w:r>
      <w:r w:rsidR="00BA7958" w:rsidRPr="00616BFB">
        <w:rPr>
          <w:rFonts w:ascii="lucida grande" w:hAnsi="lucida grande"/>
          <w:lang w:val="id-ID" w:eastAsia="id-ID"/>
        </w:rPr>
        <w:t>erimbangan b</w:t>
      </w:r>
      <w:r w:rsidR="00BA7958">
        <w:rPr>
          <w:rFonts w:ascii="lucida grande" w:hAnsi="lucida grande"/>
          <w:lang w:val="id-ID" w:eastAsia="id-ID"/>
        </w:rPr>
        <w:t>erpengaruh signifikan terhadap belanja d</w:t>
      </w:r>
      <w:r w:rsidR="00BA7958" w:rsidRPr="00616BFB">
        <w:rPr>
          <w:rFonts w:ascii="lucida grande" w:hAnsi="lucida grande"/>
          <w:lang w:val="id-ID" w:eastAsia="id-ID"/>
        </w:rPr>
        <w:t>aerah</w:t>
      </w:r>
      <w:r w:rsidR="00BA7958">
        <w:rPr>
          <w:lang w:val="id-ID" w:eastAsia="id-ID"/>
        </w:rPr>
        <w:t xml:space="preserve">. </w:t>
      </w:r>
      <w:r w:rsidRPr="00071329">
        <w:rPr>
          <w:lang w:val="id-ID" w:eastAsia="id-ID"/>
        </w:rPr>
        <w:t>Penelitian lainnya meneliti salah satu komponen dana perimbangan yaitu DAU, diantaranya penelitian yang dilakukan oleh Sukriy dan Halim (2003) meneliti tentang pengaruh dana alokasi umum dan pendapatan asli daerah terhadap belanja daerah pada Kabupaten dan Kota di Jawa dan Bali, dimana hasil penelitiannya menunjukkan bahwa DAU dan PAD secara terpisah dan serentak berpengaruh p</w:t>
      </w:r>
      <w:r w:rsidR="00132C73">
        <w:rPr>
          <w:lang w:val="id-ID" w:eastAsia="id-ID"/>
        </w:rPr>
        <w:t xml:space="preserve">ositif terhadap belanja daerah. </w:t>
      </w:r>
      <w:proofErr w:type="spellStart"/>
      <w:r w:rsidR="00410AF6">
        <w:rPr>
          <w:lang w:val="en-US" w:eastAsia="id-ID"/>
        </w:rPr>
        <w:t>Rahmawati</w:t>
      </w:r>
      <w:proofErr w:type="spellEnd"/>
      <w:r w:rsidR="00410AF6">
        <w:rPr>
          <w:lang w:val="en-US" w:eastAsia="id-ID"/>
        </w:rPr>
        <w:t xml:space="preserve"> (2010) </w:t>
      </w:r>
      <w:r w:rsidRPr="00071329">
        <w:rPr>
          <w:lang w:val="id-ID" w:eastAsia="id-ID"/>
        </w:rPr>
        <w:t xml:space="preserve">juga meneliti tentang pengaruh PAD dan </w:t>
      </w:r>
      <w:r w:rsidR="00410AF6">
        <w:rPr>
          <w:lang w:val="en-US" w:eastAsia="id-ID"/>
        </w:rPr>
        <w:t xml:space="preserve">DAU </w:t>
      </w:r>
      <w:r w:rsidR="00737421">
        <w:rPr>
          <w:lang w:val="id-ID" w:eastAsia="id-ID"/>
        </w:rPr>
        <w:t>terhadap belanja d</w:t>
      </w:r>
      <w:r w:rsidRPr="00071329">
        <w:rPr>
          <w:lang w:val="id-ID" w:eastAsia="id-ID"/>
        </w:rPr>
        <w:t xml:space="preserve">aerah </w:t>
      </w:r>
      <w:r w:rsidR="00410AF6">
        <w:rPr>
          <w:lang w:val="en-US" w:eastAsia="id-ID"/>
        </w:rPr>
        <w:t xml:space="preserve">di </w:t>
      </w:r>
      <w:proofErr w:type="spellStart"/>
      <w:r w:rsidR="00410AF6">
        <w:rPr>
          <w:lang w:val="en-US" w:eastAsia="id-ID"/>
        </w:rPr>
        <w:t>Provinsi</w:t>
      </w:r>
      <w:proofErr w:type="spellEnd"/>
      <w:r w:rsidR="00410AF6">
        <w:rPr>
          <w:lang w:val="en-US" w:eastAsia="id-ID"/>
        </w:rPr>
        <w:t xml:space="preserve"> </w:t>
      </w:r>
      <w:proofErr w:type="spellStart"/>
      <w:r w:rsidR="00410AF6">
        <w:rPr>
          <w:lang w:val="en-US" w:eastAsia="id-ID"/>
        </w:rPr>
        <w:t>Jawa</w:t>
      </w:r>
      <w:proofErr w:type="spellEnd"/>
      <w:r w:rsidR="00410AF6">
        <w:rPr>
          <w:lang w:val="en-US" w:eastAsia="id-ID"/>
        </w:rPr>
        <w:t xml:space="preserve"> Tengah, </w:t>
      </w:r>
      <w:r w:rsidRPr="00071329">
        <w:rPr>
          <w:lang w:val="id-ID" w:eastAsia="id-ID"/>
        </w:rPr>
        <w:t>dimana hasil penelitiannya</w:t>
      </w:r>
      <w:r w:rsidR="00410AF6">
        <w:rPr>
          <w:lang w:val="en-US" w:eastAsia="id-ID"/>
        </w:rPr>
        <w:t xml:space="preserve"> </w:t>
      </w:r>
      <w:proofErr w:type="spellStart"/>
      <w:r w:rsidR="00410AF6" w:rsidRPr="00410AF6">
        <w:rPr>
          <w:lang w:val="en-US" w:eastAsia="id-ID"/>
        </w:rPr>
        <w:t>menunjukan</w:t>
      </w:r>
      <w:proofErr w:type="spellEnd"/>
      <w:r w:rsidR="00410AF6" w:rsidRPr="00410AF6">
        <w:rPr>
          <w:lang w:val="en-US" w:eastAsia="id-ID"/>
        </w:rPr>
        <w:t xml:space="preserve"> </w:t>
      </w:r>
      <w:proofErr w:type="spellStart"/>
      <w:r w:rsidR="00410AF6" w:rsidRPr="00410AF6">
        <w:rPr>
          <w:lang w:val="en-US" w:eastAsia="id-ID"/>
        </w:rPr>
        <w:t>bahwa</w:t>
      </w:r>
      <w:proofErr w:type="spellEnd"/>
      <w:r w:rsidR="00410AF6" w:rsidRPr="00410AF6">
        <w:rPr>
          <w:lang w:val="en-US" w:eastAsia="id-ID"/>
        </w:rPr>
        <w:t xml:space="preserve"> DAU </w:t>
      </w:r>
      <w:proofErr w:type="spellStart"/>
      <w:r w:rsidR="00410AF6" w:rsidRPr="00410AF6">
        <w:rPr>
          <w:lang w:val="en-US" w:eastAsia="id-ID"/>
        </w:rPr>
        <w:t>dan</w:t>
      </w:r>
      <w:proofErr w:type="spellEnd"/>
      <w:r w:rsidR="00410AF6" w:rsidRPr="00410AF6">
        <w:rPr>
          <w:lang w:val="en-US" w:eastAsia="id-ID"/>
        </w:rPr>
        <w:t xml:space="preserve"> PAD </w:t>
      </w:r>
      <w:proofErr w:type="spellStart"/>
      <w:r w:rsidR="00410AF6" w:rsidRPr="00410AF6">
        <w:rPr>
          <w:lang w:val="en-US" w:eastAsia="id-ID"/>
        </w:rPr>
        <w:t>memp</w:t>
      </w:r>
      <w:r w:rsidR="00410AF6">
        <w:rPr>
          <w:lang w:val="en-US" w:eastAsia="id-ID"/>
        </w:rPr>
        <w:t>unyai</w:t>
      </w:r>
      <w:proofErr w:type="spellEnd"/>
      <w:r w:rsidR="00410AF6">
        <w:rPr>
          <w:lang w:val="en-US" w:eastAsia="id-ID"/>
        </w:rPr>
        <w:t xml:space="preserve"> </w:t>
      </w:r>
      <w:proofErr w:type="spellStart"/>
      <w:r w:rsidR="00410AF6">
        <w:rPr>
          <w:lang w:val="en-US" w:eastAsia="id-ID"/>
        </w:rPr>
        <w:t>pengaruh</w:t>
      </w:r>
      <w:proofErr w:type="spellEnd"/>
      <w:r w:rsidR="00410AF6">
        <w:rPr>
          <w:lang w:val="en-US" w:eastAsia="id-ID"/>
        </w:rPr>
        <w:t xml:space="preserve"> yang </w:t>
      </w:r>
      <w:proofErr w:type="spellStart"/>
      <w:r w:rsidR="00410AF6">
        <w:rPr>
          <w:lang w:val="en-US" w:eastAsia="id-ID"/>
        </w:rPr>
        <w:t>signifikan</w:t>
      </w:r>
      <w:proofErr w:type="spellEnd"/>
      <w:r w:rsidR="00410AF6">
        <w:rPr>
          <w:lang w:val="en-US" w:eastAsia="id-ID"/>
        </w:rPr>
        <w:t xml:space="preserve"> </w:t>
      </w:r>
      <w:proofErr w:type="spellStart"/>
      <w:r w:rsidR="00410AF6" w:rsidRPr="00410AF6">
        <w:rPr>
          <w:lang w:val="en-US" w:eastAsia="id-ID"/>
        </w:rPr>
        <w:t>terhadap</w:t>
      </w:r>
      <w:proofErr w:type="spellEnd"/>
      <w:r w:rsidR="00410AF6" w:rsidRPr="00410AF6">
        <w:rPr>
          <w:lang w:val="en-US" w:eastAsia="id-ID"/>
        </w:rPr>
        <w:t xml:space="preserve"> </w:t>
      </w:r>
      <w:proofErr w:type="spellStart"/>
      <w:r w:rsidR="00410AF6" w:rsidRPr="00410AF6">
        <w:rPr>
          <w:lang w:val="en-US" w:eastAsia="id-ID"/>
        </w:rPr>
        <w:t>alokasi</w:t>
      </w:r>
      <w:proofErr w:type="spellEnd"/>
      <w:r w:rsidR="00410AF6" w:rsidRPr="00410AF6">
        <w:rPr>
          <w:lang w:val="en-US" w:eastAsia="id-ID"/>
        </w:rPr>
        <w:t xml:space="preserve"> </w:t>
      </w:r>
      <w:proofErr w:type="spellStart"/>
      <w:r w:rsidR="00410AF6" w:rsidRPr="00410AF6">
        <w:rPr>
          <w:lang w:val="en-US" w:eastAsia="id-ID"/>
        </w:rPr>
        <w:t>belanja</w:t>
      </w:r>
      <w:proofErr w:type="spellEnd"/>
      <w:r w:rsidR="00410AF6" w:rsidRPr="00410AF6">
        <w:rPr>
          <w:lang w:val="en-US" w:eastAsia="id-ID"/>
        </w:rPr>
        <w:t xml:space="preserve"> </w:t>
      </w:r>
      <w:proofErr w:type="spellStart"/>
      <w:r w:rsidR="00410AF6" w:rsidRPr="00410AF6">
        <w:rPr>
          <w:lang w:val="en-US" w:eastAsia="id-ID"/>
        </w:rPr>
        <w:t>daerah</w:t>
      </w:r>
      <w:proofErr w:type="spellEnd"/>
      <w:r w:rsidR="00410AF6" w:rsidRPr="00410AF6">
        <w:rPr>
          <w:lang w:val="en-US" w:eastAsia="id-ID"/>
        </w:rPr>
        <w:t xml:space="preserve">. </w:t>
      </w:r>
      <w:proofErr w:type="spellStart"/>
      <w:r w:rsidR="00410AF6" w:rsidRPr="00410AF6">
        <w:rPr>
          <w:lang w:val="en-US" w:eastAsia="id-ID"/>
        </w:rPr>
        <w:t>Jika</w:t>
      </w:r>
      <w:proofErr w:type="spellEnd"/>
      <w:r w:rsidR="00410AF6">
        <w:rPr>
          <w:lang w:val="en-US" w:eastAsia="id-ID"/>
        </w:rPr>
        <w:t xml:space="preserve"> </w:t>
      </w:r>
      <w:proofErr w:type="spellStart"/>
      <w:r w:rsidR="00410AF6">
        <w:rPr>
          <w:lang w:val="en-US" w:eastAsia="id-ID"/>
        </w:rPr>
        <w:t>dilihat</w:t>
      </w:r>
      <w:proofErr w:type="spellEnd"/>
      <w:r w:rsidR="00410AF6">
        <w:rPr>
          <w:lang w:val="en-US" w:eastAsia="id-ID"/>
        </w:rPr>
        <w:t xml:space="preserve"> </w:t>
      </w:r>
      <w:proofErr w:type="spellStart"/>
      <w:r w:rsidR="00410AF6">
        <w:rPr>
          <w:lang w:val="en-US" w:eastAsia="id-ID"/>
        </w:rPr>
        <w:t>lebih</w:t>
      </w:r>
      <w:proofErr w:type="spellEnd"/>
      <w:r w:rsidR="00410AF6">
        <w:rPr>
          <w:lang w:val="en-US" w:eastAsia="id-ID"/>
        </w:rPr>
        <w:t xml:space="preserve"> </w:t>
      </w:r>
      <w:proofErr w:type="spellStart"/>
      <w:r w:rsidR="00410AF6">
        <w:rPr>
          <w:lang w:val="en-US" w:eastAsia="id-ID"/>
        </w:rPr>
        <w:t>lanjut</w:t>
      </w:r>
      <w:proofErr w:type="spellEnd"/>
      <w:r w:rsidR="00410AF6">
        <w:rPr>
          <w:lang w:val="en-US" w:eastAsia="id-ID"/>
        </w:rPr>
        <w:t xml:space="preserve">, </w:t>
      </w:r>
      <w:proofErr w:type="spellStart"/>
      <w:r w:rsidR="00410AF6">
        <w:rPr>
          <w:lang w:val="en-US" w:eastAsia="id-ID"/>
        </w:rPr>
        <w:t>tingkat</w:t>
      </w:r>
      <w:proofErr w:type="spellEnd"/>
      <w:r w:rsidR="00410AF6">
        <w:rPr>
          <w:lang w:val="en-US" w:eastAsia="id-ID"/>
        </w:rPr>
        <w:t xml:space="preserve"> </w:t>
      </w:r>
      <w:proofErr w:type="spellStart"/>
      <w:r w:rsidR="00410AF6" w:rsidRPr="00410AF6">
        <w:rPr>
          <w:lang w:val="en-US" w:eastAsia="id-ID"/>
        </w:rPr>
        <w:t>ketergantungan</w:t>
      </w:r>
      <w:proofErr w:type="spellEnd"/>
      <w:r w:rsidR="00410AF6" w:rsidRPr="00410AF6">
        <w:rPr>
          <w:lang w:val="en-US" w:eastAsia="id-ID"/>
        </w:rPr>
        <w:t xml:space="preserve"> </w:t>
      </w:r>
      <w:proofErr w:type="spellStart"/>
      <w:r w:rsidR="00410AF6" w:rsidRPr="00410AF6">
        <w:rPr>
          <w:lang w:val="en-US" w:eastAsia="id-ID"/>
        </w:rPr>
        <w:t>alokasi</w:t>
      </w:r>
      <w:proofErr w:type="spellEnd"/>
      <w:r w:rsidR="00410AF6" w:rsidRPr="00410AF6">
        <w:rPr>
          <w:lang w:val="en-US" w:eastAsia="id-ID"/>
        </w:rPr>
        <w:t xml:space="preserve"> </w:t>
      </w:r>
      <w:proofErr w:type="spellStart"/>
      <w:r w:rsidR="00410AF6" w:rsidRPr="00410AF6">
        <w:rPr>
          <w:lang w:val="en-US" w:eastAsia="id-ID"/>
        </w:rPr>
        <w:t>belanja</w:t>
      </w:r>
      <w:proofErr w:type="spellEnd"/>
      <w:r w:rsidR="00410AF6" w:rsidRPr="00410AF6">
        <w:rPr>
          <w:lang w:val="en-US" w:eastAsia="id-ID"/>
        </w:rPr>
        <w:t xml:space="preserve"> </w:t>
      </w:r>
      <w:proofErr w:type="spellStart"/>
      <w:r w:rsidR="00410AF6" w:rsidRPr="00410AF6">
        <w:rPr>
          <w:lang w:val="en-US" w:eastAsia="id-ID"/>
        </w:rPr>
        <w:t>daerah</w:t>
      </w:r>
      <w:proofErr w:type="spellEnd"/>
      <w:r w:rsidR="00410AF6" w:rsidRPr="00410AF6">
        <w:rPr>
          <w:lang w:val="en-US" w:eastAsia="id-ID"/>
        </w:rPr>
        <w:t xml:space="preserve"> </w:t>
      </w:r>
      <w:proofErr w:type="spellStart"/>
      <w:r w:rsidR="00410AF6" w:rsidRPr="00410AF6">
        <w:rPr>
          <w:lang w:val="en-US" w:eastAsia="id-ID"/>
        </w:rPr>
        <w:t>lebih</w:t>
      </w:r>
      <w:proofErr w:type="spellEnd"/>
      <w:r w:rsidR="00410AF6" w:rsidRPr="00410AF6">
        <w:rPr>
          <w:lang w:val="en-US" w:eastAsia="id-ID"/>
        </w:rPr>
        <w:t xml:space="preserve"> </w:t>
      </w:r>
      <w:proofErr w:type="spellStart"/>
      <w:r w:rsidR="00410AF6" w:rsidRPr="00410AF6">
        <w:rPr>
          <w:lang w:val="en-US" w:eastAsia="id-ID"/>
        </w:rPr>
        <w:t>dominan</w:t>
      </w:r>
      <w:proofErr w:type="spellEnd"/>
      <w:r w:rsidR="00410AF6" w:rsidRPr="00410AF6">
        <w:rPr>
          <w:lang w:val="en-US" w:eastAsia="id-ID"/>
        </w:rPr>
        <w:t xml:space="preserve"> </w:t>
      </w:r>
      <w:proofErr w:type="spellStart"/>
      <w:r w:rsidR="00410AF6" w:rsidRPr="00410AF6">
        <w:rPr>
          <w:lang w:val="en-US" w:eastAsia="id-ID"/>
        </w:rPr>
        <w:t>terhadap</w:t>
      </w:r>
      <w:proofErr w:type="spellEnd"/>
      <w:r w:rsidR="00410AF6" w:rsidRPr="00410AF6">
        <w:rPr>
          <w:lang w:val="en-US" w:eastAsia="id-ID"/>
        </w:rPr>
        <w:t xml:space="preserve"> PAD</w:t>
      </w:r>
      <w:r w:rsidR="00B52854">
        <w:rPr>
          <w:lang w:val="id-ID" w:eastAsia="id-ID"/>
        </w:rPr>
        <w:t xml:space="preserve"> </w:t>
      </w:r>
      <w:proofErr w:type="spellStart"/>
      <w:r w:rsidR="00410AF6" w:rsidRPr="00410AF6">
        <w:rPr>
          <w:lang w:val="en-US" w:eastAsia="id-ID"/>
        </w:rPr>
        <w:t>daripada</w:t>
      </w:r>
      <w:proofErr w:type="spellEnd"/>
      <w:r w:rsidR="00410AF6" w:rsidRPr="00410AF6">
        <w:rPr>
          <w:lang w:val="en-US" w:eastAsia="id-ID"/>
        </w:rPr>
        <w:t xml:space="preserve"> </w:t>
      </w:r>
      <w:r w:rsidR="00410AF6">
        <w:rPr>
          <w:lang w:val="en-US" w:eastAsia="id-ID"/>
        </w:rPr>
        <w:t>DAU.</w:t>
      </w:r>
      <w:r w:rsidR="00713CB7">
        <w:rPr>
          <w:lang w:val="en-US" w:eastAsia="id-ID"/>
        </w:rPr>
        <w:t xml:space="preserve"> </w:t>
      </w:r>
      <w:proofErr w:type="spellStart"/>
      <w:r w:rsidR="00713CB7">
        <w:rPr>
          <w:lang w:val="en-US" w:eastAsia="id-ID"/>
        </w:rPr>
        <w:t>Kemudian</w:t>
      </w:r>
      <w:proofErr w:type="spellEnd"/>
      <w:r w:rsidR="00713CB7">
        <w:rPr>
          <w:lang w:val="en-US" w:eastAsia="id-ID"/>
        </w:rPr>
        <w:t xml:space="preserve"> </w:t>
      </w:r>
      <w:proofErr w:type="spellStart"/>
      <w:r w:rsidR="00812CE1">
        <w:rPr>
          <w:lang w:val="en-US" w:eastAsia="id-ID"/>
        </w:rPr>
        <w:t>Agri</w:t>
      </w:r>
      <w:proofErr w:type="spellEnd"/>
      <w:r w:rsidR="00812CE1">
        <w:rPr>
          <w:lang w:val="en-US" w:eastAsia="id-ID"/>
        </w:rPr>
        <w:t xml:space="preserve"> </w:t>
      </w:r>
      <w:r w:rsidR="00713CB7">
        <w:rPr>
          <w:lang w:val="en-US" w:eastAsia="id-ID"/>
        </w:rPr>
        <w:t xml:space="preserve">(2011) </w:t>
      </w:r>
      <w:proofErr w:type="spellStart"/>
      <w:r w:rsidR="00713CB7">
        <w:rPr>
          <w:lang w:val="en-US" w:eastAsia="id-ID"/>
        </w:rPr>
        <w:t>meneliti</w:t>
      </w:r>
      <w:proofErr w:type="spellEnd"/>
      <w:r w:rsidR="00713CB7">
        <w:rPr>
          <w:lang w:val="en-US" w:eastAsia="id-ID"/>
        </w:rPr>
        <w:t xml:space="preserve"> </w:t>
      </w:r>
      <w:proofErr w:type="spellStart"/>
      <w:r w:rsidR="00713CB7">
        <w:rPr>
          <w:lang w:val="en-US" w:eastAsia="id-ID"/>
        </w:rPr>
        <w:t>tentang</w:t>
      </w:r>
      <w:proofErr w:type="spellEnd"/>
      <w:r w:rsidR="00713CB7">
        <w:rPr>
          <w:lang w:val="en-US" w:eastAsia="id-ID"/>
        </w:rPr>
        <w:t xml:space="preserve"> </w:t>
      </w:r>
      <w:proofErr w:type="spellStart"/>
      <w:r w:rsidR="00713CB7">
        <w:rPr>
          <w:lang w:val="en-US" w:eastAsia="id-ID"/>
        </w:rPr>
        <w:t>analisis</w:t>
      </w:r>
      <w:proofErr w:type="spellEnd"/>
      <w:r w:rsidR="00713CB7">
        <w:rPr>
          <w:lang w:val="en-US" w:eastAsia="id-ID"/>
        </w:rPr>
        <w:t xml:space="preserve"> </w:t>
      </w:r>
      <w:proofErr w:type="spellStart"/>
      <w:r w:rsidR="00713CB7">
        <w:rPr>
          <w:lang w:val="en-US" w:eastAsia="id-ID"/>
        </w:rPr>
        <w:t>belanja</w:t>
      </w:r>
      <w:proofErr w:type="spellEnd"/>
      <w:r w:rsidR="00713CB7">
        <w:rPr>
          <w:lang w:val="en-US" w:eastAsia="id-ID"/>
        </w:rPr>
        <w:t xml:space="preserve"> </w:t>
      </w:r>
      <w:proofErr w:type="spellStart"/>
      <w:r w:rsidR="00713CB7">
        <w:rPr>
          <w:lang w:val="en-US" w:eastAsia="id-ID"/>
        </w:rPr>
        <w:t>daerah</w:t>
      </w:r>
      <w:proofErr w:type="spellEnd"/>
      <w:r w:rsidR="00713CB7">
        <w:rPr>
          <w:lang w:val="en-US" w:eastAsia="id-ID"/>
        </w:rPr>
        <w:t xml:space="preserve"> </w:t>
      </w:r>
      <w:proofErr w:type="spellStart"/>
      <w:r w:rsidR="00713CB7">
        <w:rPr>
          <w:lang w:val="en-US" w:eastAsia="id-ID"/>
        </w:rPr>
        <w:t>dan</w:t>
      </w:r>
      <w:proofErr w:type="spellEnd"/>
      <w:r w:rsidR="00713CB7">
        <w:rPr>
          <w:lang w:val="en-US" w:eastAsia="id-ID"/>
        </w:rPr>
        <w:t xml:space="preserve"> </w:t>
      </w:r>
      <w:proofErr w:type="spellStart"/>
      <w:r w:rsidR="00713CB7">
        <w:rPr>
          <w:lang w:val="en-US" w:eastAsia="id-ID"/>
        </w:rPr>
        <w:t>faktor-faktor</w:t>
      </w:r>
      <w:proofErr w:type="spellEnd"/>
      <w:r w:rsidR="00713CB7">
        <w:rPr>
          <w:lang w:val="en-US" w:eastAsia="id-ID"/>
        </w:rPr>
        <w:t xml:space="preserve"> </w:t>
      </w:r>
      <w:r w:rsidR="00457628">
        <w:rPr>
          <w:lang w:val="en-US" w:eastAsia="id-ID"/>
        </w:rPr>
        <w:t xml:space="preserve">yang </w:t>
      </w:r>
      <w:proofErr w:type="spellStart"/>
      <w:r w:rsidR="00457628">
        <w:rPr>
          <w:lang w:val="en-US" w:eastAsia="id-ID"/>
        </w:rPr>
        <w:t>mempengaruhinya</w:t>
      </w:r>
      <w:proofErr w:type="spellEnd"/>
      <w:r w:rsidR="00457628">
        <w:rPr>
          <w:lang w:val="en-US" w:eastAsia="id-ID"/>
        </w:rPr>
        <w:t xml:space="preserve">, </w:t>
      </w:r>
      <w:proofErr w:type="spellStart"/>
      <w:r w:rsidR="00713CB7">
        <w:rPr>
          <w:lang w:val="en-US" w:eastAsia="id-ID"/>
        </w:rPr>
        <w:t>hasil</w:t>
      </w:r>
      <w:proofErr w:type="spellEnd"/>
      <w:r w:rsidR="00713CB7">
        <w:rPr>
          <w:lang w:val="en-US" w:eastAsia="id-ID"/>
        </w:rPr>
        <w:t xml:space="preserve"> </w:t>
      </w:r>
      <w:proofErr w:type="spellStart"/>
      <w:r w:rsidR="00713CB7">
        <w:rPr>
          <w:lang w:val="en-US" w:eastAsia="id-ID"/>
        </w:rPr>
        <w:lastRenderedPageBreak/>
        <w:t>penelitia</w:t>
      </w:r>
      <w:r w:rsidR="00737421">
        <w:rPr>
          <w:lang w:val="en-US" w:eastAsia="id-ID"/>
        </w:rPr>
        <w:t>n</w:t>
      </w:r>
      <w:proofErr w:type="spellEnd"/>
      <w:r w:rsidR="00737421">
        <w:rPr>
          <w:lang w:val="en-US" w:eastAsia="id-ID"/>
        </w:rPr>
        <w:t xml:space="preserve"> </w:t>
      </w:r>
      <w:proofErr w:type="spellStart"/>
      <w:r w:rsidR="00737421">
        <w:rPr>
          <w:lang w:val="en-US" w:eastAsia="id-ID"/>
        </w:rPr>
        <w:t>tersebut</w:t>
      </w:r>
      <w:proofErr w:type="spellEnd"/>
      <w:r w:rsidR="00737421">
        <w:rPr>
          <w:lang w:val="en-US" w:eastAsia="id-ID"/>
        </w:rPr>
        <w:t xml:space="preserve"> </w:t>
      </w:r>
      <w:proofErr w:type="spellStart"/>
      <w:r w:rsidR="00737421">
        <w:rPr>
          <w:lang w:val="en-US" w:eastAsia="id-ID"/>
        </w:rPr>
        <w:t>menunjukkan</w:t>
      </w:r>
      <w:proofErr w:type="spellEnd"/>
      <w:r w:rsidR="00737421">
        <w:rPr>
          <w:lang w:val="en-US" w:eastAsia="id-ID"/>
        </w:rPr>
        <w:t xml:space="preserve"> PAD </w:t>
      </w:r>
      <w:proofErr w:type="spellStart"/>
      <w:r w:rsidR="00737421">
        <w:rPr>
          <w:lang w:val="en-US" w:eastAsia="id-ID"/>
        </w:rPr>
        <w:t>dan</w:t>
      </w:r>
      <w:proofErr w:type="spellEnd"/>
      <w:r w:rsidR="00737421">
        <w:rPr>
          <w:lang w:val="en-US" w:eastAsia="id-ID"/>
        </w:rPr>
        <w:t xml:space="preserve"> </w:t>
      </w:r>
      <w:proofErr w:type="spellStart"/>
      <w:proofErr w:type="gramStart"/>
      <w:r w:rsidR="00737421">
        <w:rPr>
          <w:lang w:val="en-US" w:eastAsia="id-ID"/>
        </w:rPr>
        <w:t>dana</w:t>
      </w:r>
      <w:proofErr w:type="spellEnd"/>
      <w:proofErr w:type="gramEnd"/>
      <w:r w:rsidR="00737421">
        <w:rPr>
          <w:lang w:val="en-US" w:eastAsia="id-ID"/>
        </w:rPr>
        <w:t xml:space="preserve"> </w:t>
      </w:r>
      <w:proofErr w:type="spellStart"/>
      <w:r w:rsidR="00737421">
        <w:rPr>
          <w:lang w:val="en-US" w:eastAsia="id-ID"/>
        </w:rPr>
        <w:t>p</w:t>
      </w:r>
      <w:r w:rsidR="00713CB7">
        <w:rPr>
          <w:lang w:val="en-US" w:eastAsia="id-ID"/>
        </w:rPr>
        <w:t>erimbangan</w:t>
      </w:r>
      <w:proofErr w:type="spellEnd"/>
      <w:r w:rsidR="00713CB7">
        <w:rPr>
          <w:lang w:val="en-US" w:eastAsia="id-ID"/>
        </w:rPr>
        <w:t xml:space="preserve"> </w:t>
      </w:r>
      <w:proofErr w:type="spellStart"/>
      <w:r w:rsidR="00713CB7">
        <w:rPr>
          <w:lang w:val="en-US" w:eastAsia="id-ID"/>
        </w:rPr>
        <w:t>memiliki</w:t>
      </w:r>
      <w:proofErr w:type="spellEnd"/>
      <w:r w:rsidR="00713CB7">
        <w:rPr>
          <w:lang w:val="en-US" w:eastAsia="id-ID"/>
        </w:rPr>
        <w:t xml:space="preserve"> </w:t>
      </w:r>
      <w:proofErr w:type="spellStart"/>
      <w:r w:rsidR="00713CB7">
        <w:rPr>
          <w:lang w:val="en-US" w:eastAsia="id-ID"/>
        </w:rPr>
        <w:t>pengaruh</w:t>
      </w:r>
      <w:proofErr w:type="spellEnd"/>
      <w:r w:rsidR="00713CB7">
        <w:rPr>
          <w:lang w:val="en-US" w:eastAsia="id-ID"/>
        </w:rPr>
        <w:t xml:space="preserve"> yang </w:t>
      </w:r>
      <w:proofErr w:type="spellStart"/>
      <w:r w:rsidR="00713CB7">
        <w:rPr>
          <w:lang w:val="en-US" w:eastAsia="id-ID"/>
        </w:rPr>
        <w:t>positif</w:t>
      </w:r>
      <w:proofErr w:type="spellEnd"/>
      <w:r w:rsidR="00713CB7">
        <w:rPr>
          <w:lang w:val="en-US" w:eastAsia="id-ID"/>
        </w:rPr>
        <w:t xml:space="preserve"> </w:t>
      </w:r>
      <w:proofErr w:type="spellStart"/>
      <w:r w:rsidR="00713CB7">
        <w:rPr>
          <w:lang w:val="en-US" w:eastAsia="id-ID"/>
        </w:rPr>
        <w:t>signifikan</w:t>
      </w:r>
      <w:proofErr w:type="spellEnd"/>
      <w:r w:rsidR="00713CB7">
        <w:rPr>
          <w:lang w:val="en-US" w:eastAsia="id-ID"/>
        </w:rPr>
        <w:t xml:space="preserve"> </w:t>
      </w:r>
      <w:proofErr w:type="spellStart"/>
      <w:r w:rsidR="00713CB7">
        <w:rPr>
          <w:lang w:val="en-US" w:eastAsia="id-ID"/>
        </w:rPr>
        <w:t>terhadap</w:t>
      </w:r>
      <w:proofErr w:type="spellEnd"/>
      <w:r w:rsidR="00713CB7">
        <w:rPr>
          <w:lang w:val="en-US" w:eastAsia="id-ID"/>
        </w:rPr>
        <w:t xml:space="preserve"> </w:t>
      </w:r>
      <w:proofErr w:type="spellStart"/>
      <w:r w:rsidR="00713CB7">
        <w:rPr>
          <w:lang w:val="en-US" w:eastAsia="id-ID"/>
        </w:rPr>
        <w:t>belanja</w:t>
      </w:r>
      <w:proofErr w:type="spellEnd"/>
      <w:r w:rsidR="00713CB7">
        <w:rPr>
          <w:lang w:val="en-US" w:eastAsia="id-ID"/>
        </w:rPr>
        <w:t xml:space="preserve"> </w:t>
      </w:r>
      <w:proofErr w:type="spellStart"/>
      <w:r w:rsidR="00713CB7">
        <w:rPr>
          <w:lang w:val="en-US" w:eastAsia="id-ID"/>
        </w:rPr>
        <w:t>dae</w:t>
      </w:r>
      <w:r w:rsidR="00457628">
        <w:rPr>
          <w:lang w:val="en-US" w:eastAsia="id-ID"/>
        </w:rPr>
        <w:t>rah</w:t>
      </w:r>
      <w:proofErr w:type="spellEnd"/>
      <w:r w:rsidR="00457628">
        <w:rPr>
          <w:lang w:val="en-US" w:eastAsia="id-ID"/>
        </w:rPr>
        <w:t xml:space="preserve">. Dan </w:t>
      </w:r>
      <w:proofErr w:type="spellStart"/>
      <w:r w:rsidR="00457628">
        <w:rPr>
          <w:lang w:val="en-US" w:eastAsia="id-ID"/>
        </w:rPr>
        <w:t>penelitian</w:t>
      </w:r>
      <w:proofErr w:type="spellEnd"/>
      <w:r w:rsidR="00457628">
        <w:rPr>
          <w:lang w:val="en-US" w:eastAsia="id-ID"/>
        </w:rPr>
        <w:t xml:space="preserve"> </w:t>
      </w:r>
      <w:proofErr w:type="spellStart"/>
      <w:r w:rsidR="00812CE1">
        <w:rPr>
          <w:lang w:val="en-US" w:eastAsia="id-ID"/>
        </w:rPr>
        <w:t>Ferdian</w:t>
      </w:r>
      <w:proofErr w:type="spellEnd"/>
      <w:r w:rsidR="00812CE1">
        <w:rPr>
          <w:lang w:val="en-US" w:eastAsia="id-ID"/>
        </w:rPr>
        <w:t xml:space="preserve"> </w:t>
      </w:r>
      <w:r w:rsidR="00457628">
        <w:rPr>
          <w:lang w:val="en-US" w:eastAsia="id-ID"/>
        </w:rPr>
        <w:t>(2013</w:t>
      </w:r>
      <w:r w:rsidR="00713CB7">
        <w:rPr>
          <w:lang w:val="en-US" w:eastAsia="id-ID"/>
        </w:rPr>
        <w:t>)</w:t>
      </w:r>
      <w:r w:rsidR="00132C73">
        <w:rPr>
          <w:lang w:val="en-US" w:eastAsia="id-ID"/>
        </w:rPr>
        <w:t xml:space="preserve"> yang </w:t>
      </w:r>
      <w:proofErr w:type="spellStart"/>
      <w:r w:rsidR="00132C73">
        <w:rPr>
          <w:lang w:val="en-US" w:eastAsia="id-ID"/>
        </w:rPr>
        <w:t>meneliti</w:t>
      </w:r>
      <w:proofErr w:type="spellEnd"/>
      <w:r w:rsidR="00713CB7">
        <w:rPr>
          <w:lang w:val="en-US" w:eastAsia="id-ID"/>
        </w:rPr>
        <w:t xml:space="preserve"> </w:t>
      </w:r>
      <w:proofErr w:type="spellStart"/>
      <w:r w:rsidR="00713CB7">
        <w:rPr>
          <w:lang w:val="en-US" w:eastAsia="id-ID"/>
        </w:rPr>
        <w:t>tentang</w:t>
      </w:r>
      <w:proofErr w:type="spellEnd"/>
      <w:r w:rsidR="00713CB7">
        <w:rPr>
          <w:lang w:val="en-US" w:eastAsia="id-ID"/>
        </w:rPr>
        <w:t xml:space="preserve"> </w:t>
      </w:r>
      <w:proofErr w:type="spellStart"/>
      <w:r w:rsidR="00132C73">
        <w:rPr>
          <w:lang w:val="en-US" w:eastAsia="id-ID"/>
        </w:rPr>
        <w:t>pengaruh</w:t>
      </w:r>
      <w:proofErr w:type="spellEnd"/>
      <w:r w:rsidR="00132C73">
        <w:rPr>
          <w:lang w:val="en-US" w:eastAsia="id-ID"/>
        </w:rPr>
        <w:t xml:space="preserve"> P</w:t>
      </w:r>
      <w:r w:rsidR="00737421">
        <w:rPr>
          <w:lang w:val="en-US" w:eastAsia="id-ID"/>
        </w:rPr>
        <w:t xml:space="preserve">AD, </w:t>
      </w:r>
      <w:proofErr w:type="spellStart"/>
      <w:r w:rsidR="00737421">
        <w:rPr>
          <w:lang w:val="en-US" w:eastAsia="id-ID"/>
        </w:rPr>
        <w:t>dana</w:t>
      </w:r>
      <w:proofErr w:type="spellEnd"/>
      <w:r w:rsidR="00737421">
        <w:rPr>
          <w:lang w:val="en-US" w:eastAsia="id-ID"/>
        </w:rPr>
        <w:t xml:space="preserve"> </w:t>
      </w:r>
      <w:proofErr w:type="spellStart"/>
      <w:r w:rsidR="00737421">
        <w:rPr>
          <w:lang w:val="en-US" w:eastAsia="id-ID"/>
        </w:rPr>
        <w:t>perimbangan</w:t>
      </w:r>
      <w:proofErr w:type="spellEnd"/>
      <w:r w:rsidR="00737421">
        <w:rPr>
          <w:lang w:val="en-US" w:eastAsia="id-ID"/>
        </w:rPr>
        <w:t xml:space="preserve">, </w:t>
      </w:r>
      <w:proofErr w:type="spellStart"/>
      <w:r w:rsidR="00737421">
        <w:rPr>
          <w:lang w:val="en-US" w:eastAsia="id-ID"/>
        </w:rPr>
        <w:t>dan</w:t>
      </w:r>
      <w:proofErr w:type="spellEnd"/>
      <w:r w:rsidR="00737421">
        <w:rPr>
          <w:lang w:val="en-US" w:eastAsia="id-ID"/>
        </w:rPr>
        <w:t xml:space="preserve"> lain-lain </w:t>
      </w:r>
      <w:proofErr w:type="spellStart"/>
      <w:r w:rsidR="00737421">
        <w:rPr>
          <w:lang w:val="en-US" w:eastAsia="id-ID"/>
        </w:rPr>
        <w:t>pendapatan</w:t>
      </w:r>
      <w:proofErr w:type="spellEnd"/>
      <w:r w:rsidR="00737421">
        <w:rPr>
          <w:lang w:val="en-US" w:eastAsia="id-ID"/>
        </w:rPr>
        <w:t xml:space="preserve"> yang </w:t>
      </w:r>
      <w:proofErr w:type="spellStart"/>
      <w:r w:rsidR="00737421">
        <w:rPr>
          <w:lang w:val="en-US" w:eastAsia="id-ID"/>
        </w:rPr>
        <w:t>s</w:t>
      </w:r>
      <w:r w:rsidR="00132C73">
        <w:rPr>
          <w:lang w:val="en-US" w:eastAsia="id-ID"/>
        </w:rPr>
        <w:t>ah</w:t>
      </w:r>
      <w:proofErr w:type="spellEnd"/>
      <w:r w:rsidR="00132C73">
        <w:rPr>
          <w:lang w:val="en-US" w:eastAsia="id-ID"/>
        </w:rPr>
        <w:t xml:space="preserve"> </w:t>
      </w:r>
      <w:proofErr w:type="spellStart"/>
      <w:r w:rsidR="00132C73">
        <w:rPr>
          <w:lang w:val="en-US" w:eastAsia="id-ID"/>
        </w:rPr>
        <w:t>terhadap</w:t>
      </w:r>
      <w:proofErr w:type="spellEnd"/>
      <w:r w:rsidR="00132C73">
        <w:rPr>
          <w:lang w:val="en-US" w:eastAsia="id-ID"/>
        </w:rPr>
        <w:t xml:space="preserve"> </w:t>
      </w:r>
      <w:proofErr w:type="spellStart"/>
      <w:r w:rsidR="00132C73">
        <w:rPr>
          <w:lang w:val="en-US" w:eastAsia="id-ID"/>
        </w:rPr>
        <w:t>Belanja</w:t>
      </w:r>
      <w:proofErr w:type="spellEnd"/>
      <w:r w:rsidR="00132C73">
        <w:rPr>
          <w:lang w:val="en-US" w:eastAsia="id-ID"/>
        </w:rPr>
        <w:t xml:space="preserve"> Daerah, </w:t>
      </w:r>
      <w:proofErr w:type="spellStart"/>
      <w:r w:rsidR="00132C73">
        <w:rPr>
          <w:lang w:val="en-US" w:eastAsia="id-ID"/>
        </w:rPr>
        <w:t>hasil</w:t>
      </w:r>
      <w:proofErr w:type="spellEnd"/>
      <w:r w:rsidR="00132C73">
        <w:rPr>
          <w:lang w:val="en-US" w:eastAsia="id-ID"/>
        </w:rPr>
        <w:t xml:space="preserve"> </w:t>
      </w:r>
      <w:proofErr w:type="spellStart"/>
      <w:r w:rsidR="00132C73">
        <w:rPr>
          <w:lang w:val="en-US" w:eastAsia="id-ID"/>
        </w:rPr>
        <w:t>penelitiannya</w:t>
      </w:r>
      <w:proofErr w:type="spellEnd"/>
      <w:r w:rsidR="00132C73">
        <w:rPr>
          <w:lang w:val="en-US" w:eastAsia="id-ID"/>
        </w:rPr>
        <w:t xml:space="preserve"> </w:t>
      </w:r>
      <w:proofErr w:type="spellStart"/>
      <w:r w:rsidR="00737421">
        <w:rPr>
          <w:lang w:val="en-US" w:eastAsia="id-ID"/>
        </w:rPr>
        <w:t>menunjukkan</w:t>
      </w:r>
      <w:proofErr w:type="spellEnd"/>
      <w:r w:rsidR="00737421">
        <w:rPr>
          <w:lang w:val="en-US" w:eastAsia="id-ID"/>
        </w:rPr>
        <w:t xml:space="preserve"> PAD </w:t>
      </w:r>
      <w:proofErr w:type="spellStart"/>
      <w:r w:rsidR="00737421">
        <w:rPr>
          <w:lang w:val="en-US" w:eastAsia="id-ID"/>
        </w:rPr>
        <w:t>dan</w:t>
      </w:r>
      <w:proofErr w:type="spellEnd"/>
      <w:r w:rsidR="00737421">
        <w:rPr>
          <w:lang w:val="en-US" w:eastAsia="id-ID"/>
        </w:rPr>
        <w:t xml:space="preserve"> </w:t>
      </w:r>
      <w:proofErr w:type="spellStart"/>
      <w:r w:rsidR="00737421">
        <w:rPr>
          <w:lang w:val="en-US" w:eastAsia="id-ID"/>
        </w:rPr>
        <w:t>dana</w:t>
      </w:r>
      <w:proofErr w:type="spellEnd"/>
      <w:r w:rsidR="00737421">
        <w:rPr>
          <w:lang w:val="en-US" w:eastAsia="id-ID"/>
        </w:rPr>
        <w:t xml:space="preserve"> </w:t>
      </w:r>
      <w:proofErr w:type="spellStart"/>
      <w:r w:rsidR="00737421">
        <w:rPr>
          <w:lang w:val="en-US" w:eastAsia="id-ID"/>
        </w:rPr>
        <w:t>p</w:t>
      </w:r>
      <w:r w:rsidR="00132C73">
        <w:rPr>
          <w:lang w:val="en-US" w:eastAsia="id-ID"/>
        </w:rPr>
        <w:t>erimbangan</w:t>
      </w:r>
      <w:proofErr w:type="spellEnd"/>
      <w:r w:rsidR="00132C73">
        <w:rPr>
          <w:lang w:val="en-US" w:eastAsia="id-ID"/>
        </w:rPr>
        <w:t xml:space="preserve"> </w:t>
      </w:r>
      <w:proofErr w:type="spellStart"/>
      <w:r w:rsidR="00132C73">
        <w:rPr>
          <w:lang w:val="en-US" w:eastAsia="id-ID"/>
        </w:rPr>
        <w:t>berpengar</w:t>
      </w:r>
      <w:r w:rsidR="00737421">
        <w:rPr>
          <w:lang w:val="en-US" w:eastAsia="id-ID"/>
        </w:rPr>
        <w:t>uh</w:t>
      </w:r>
      <w:proofErr w:type="spellEnd"/>
      <w:r w:rsidR="00737421">
        <w:rPr>
          <w:lang w:val="en-US" w:eastAsia="id-ID"/>
        </w:rPr>
        <w:t xml:space="preserve"> </w:t>
      </w:r>
      <w:proofErr w:type="spellStart"/>
      <w:r w:rsidR="00737421">
        <w:rPr>
          <w:lang w:val="en-US" w:eastAsia="id-ID"/>
        </w:rPr>
        <w:t>positif</w:t>
      </w:r>
      <w:proofErr w:type="spellEnd"/>
      <w:r w:rsidR="00737421">
        <w:rPr>
          <w:lang w:val="en-US" w:eastAsia="id-ID"/>
        </w:rPr>
        <w:t xml:space="preserve"> </w:t>
      </w:r>
      <w:proofErr w:type="spellStart"/>
      <w:r w:rsidR="00737421">
        <w:rPr>
          <w:lang w:val="en-US" w:eastAsia="id-ID"/>
        </w:rPr>
        <w:t>signifikan</w:t>
      </w:r>
      <w:proofErr w:type="spellEnd"/>
      <w:r w:rsidR="00737421">
        <w:rPr>
          <w:lang w:val="en-US" w:eastAsia="id-ID"/>
        </w:rPr>
        <w:t xml:space="preserve"> </w:t>
      </w:r>
      <w:proofErr w:type="spellStart"/>
      <w:r w:rsidR="00737421">
        <w:rPr>
          <w:lang w:val="en-US" w:eastAsia="id-ID"/>
        </w:rPr>
        <w:t>terhadap</w:t>
      </w:r>
      <w:proofErr w:type="spellEnd"/>
      <w:r w:rsidR="00737421">
        <w:rPr>
          <w:lang w:val="en-US" w:eastAsia="id-ID"/>
        </w:rPr>
        <w:t xml:space="preserve"> </w:t>
      </w:r>
      <w:proofErr w:type="spellStart"/>
      <w:r w:rsidR="00737421">
        <w:rPr>
          <w:lang w:val="en-US" w:eastAsia="id-ID"/>
        </w:rPr>
        <w:t>belanja</w:t>
      </w:r>
      <w:proofErr w:type="spellEnd"/>
      <w:r w:rsidR="00737421">
        <w:rPr>
          <w:lang w:val="en-US" w:eastAsia="id-ID"/>
        </w:rPr>
        <w:t xml:space="preserve"> </w:t>
      </w:r>
      <w:proofErr w:type="spellStart"/>
      <w:r w:rsidR="00737421">
        <w:rPr>
          <w:lang w:val="en-US" w:eastAsia="id-ID"/>
        </w:rPr>
        <w:t>daerah</w:t>
      </w:r>
      <w:proofErr w:type="spellEnd"/>
      <w:r w:rsidR="00737421">
        <w:rPr>
          <w:lang w:val="en-US" w:eastAsia="id-ID"/>
        </w:rPr>
        <w:t xml:space="preserve">, </w:t>
      </w:r>
      <w:proofErr w:type="spellStart"/>
      <w:r w:rsidR="00737421">
        <w:rPr>
          <w:lang w:val="en-US" w:eastAsia="id-ID"/>
        </w:rPr>
        <w:t>sedangkan</w:t>
      </w:r>
      <w:proofErr w:type="spellEnd"/>
      <w:r w:rsidR="00737421">
        <w:rPr>
          <w:lang w:val="en-US" w:eastAsia="id-ID"/>
        </w:rPr>
        <w:t xml:space="preserve"> lain-lain </w:t>
      </w:r>
      <w:proofErr w:type="spellStart"/>
      <w:r w:rsidR="00737421">
        <w:rPr>
          <w:lang w:val="en-US" w:eastAsia="id-ID"/>
        </w:rPr>
        <w:t>pendapatan</w:t>
      </w:r>
      <w:proofErr w:type="spellEnd"/>
      <w:r w:rsidR="00737421">
        <w:rPr>
          <w:lang w:val="en-US" w:eastAsia="id-ID"/>
        </w:rPr>
        <w:t xml:space="preserve"> yang </w:t>
      </w:r>
      <w:proofErr w:type="spellStart"/>
      <w:r w:rsidR="00737421">
        <w:rPr>
          <w:lang w:val="en-US" w:eastAsia="id-ID"/>
        </w:rPr>
        <w:t>sah</w:t>
      </w:r>
      <w:proofErr w:type="spellEnd"/>
      <w:r w:rsidR="00737421">
        <w:rPr>
          <w:lang w:val="en-US" w:eastAsia="id-ID"/>
        </w:rPr>
        <w:t xml:space="preserve"> </w:t>
      </w:r>
      <w:proofErr w:type="spellStart"/>
      <w:r w:rsidR="00737421">
        <w:rPr>
          <w:lang w:val="en-US" w:eastAsia="id-ID"/>
        </w:rPr>
        <w:t>berpengaruh</w:t>
      </w:r>
      <w:proofErr w:type="spellEnd"/>
      <w:r w:rsidR="00737421">
        <w:rPr>
          <w:lang w:val="en-US" w:eastAsia="id-ID"/>
        </w:rPr>
        <w:t xml:space="preserve"> </w:t>
      </w:r>
      <w:proofErr w:type="spellStart"/>
      <w:proofErr w:type="gramStart"/>
      <w:r w:rsidR="00737421">
        <w:rPr>
          <w:lang w:val="en-US" w:eastAsia="id-ID"/>
        </w:rPr>
        <w:t>positif</w:t>
      </w:r>
      <w:proofErr w:type="spellEnd"/>
      <w:r w:rsidR="00737421">
        <w:rPr>
          <w:lang w:val="en-US" w:eastAsia="id-ID"/>
        </w:rPr>
        <w:t xml:space="preserve">  </w:t>
      </w:r>
      <w:proofErr w:type="spellStart"/>
      <w:r w:rsidR="00737421">
        <w:rPr>
          <w:lang w:val="en-US" w:eastAsia="id-ID"/>
        </w:rPr>
        <w:t>terhadap</w:t>
      </w:r>
      <w:proofErr w:type="spellEnd"/>
      <w:proofErr w:type="gramEnd"/>
      <w:r w:rsidR="00737421">
        <w:rPr>
          <w:lang w:val="en-US" w:eastAsia="id-ID"/>
        </w:rPr>
        <w:t xml:space="preserve"> </w:t>
      </w:r>
      <w:proofErr w:type="spellStart"/>
      <w:r w:rsidR="00737421">
        <w:rPr>
          <w:lang w:val="en-US" w:eastAsia="id-ID"/>
        </w:rPr>
        <w:t>belanja</w:t>
      </w:r>
      <w:proofErr w:type="spellEnd"/>
      <w:r w:rsidR="00737421">
        <w:rPr>
          <w:lang w:val="en-US" w:eastAsia="id-ID"/>
        </w:rPr>
        <w:t xml:space="preserve"> </w:t>
      </w:r>
      <w:proofErr w:type="spellStart"/>
      <w:r w:rsidR="00737421">
        <w:rPr>
          <w:lang w:val="en-US" w:eastAsia="id-ID"/>
        </w:rPr>
        <w:t>d</w:t>
      </w:r>
      <w:r w:rsidR="00964960">
        <w:rPr>
          <w:lang w:val="en-US" w:eastAsia="id-ID"/>
        </w:rPr>
        <w:t>aerah</w:t>
      </w:r>
      <w:proofErr w:type="spellEnd"/>
      <w:r w:rsidR="00964960">
        <w:rPr>
          <w:lang w:val="en-US" w:eastAsia="id-ID"/>
        </w:rPr>
        <w:t>.</w:t>
      </w:r>
    </w:p>
    <w:p w:rsidR="00396B80" w:rsidRDefault="005C5240" w:rsidP="00B4725A">
      <w:pPr>
        <w:spacing w:line="480" w:lineRule="auto"/>
        <w:ind w:left="360" w:firstLine="810"/>
        <w:jc w:val="both"/>
        <w:rPr>
          <w:lang w:val="en-US"/>
        </w:rPr>
      </w:pPr>
      <w:proofErr w:type="spellStart"/>
      <w:r w:rsidRPr="00DD70E5">
        <w:rPr>
          <w:lang w:val="en-US"/>
        </w:rPr>
        <w:t>Berdasarkan</w:t>
      </w:r>
      <w:proofErr w:type="spellEnd"/>
      <w:r w:rsidRPr="00DD70E5">
        <w:rPr>
          <w:lang w:val="en-US"/>
        </w:rPr>
        <w:t xml:space="preserve"> </w:t>
      </w:r>
      <w:proofErr w:type="spellStart"/>
      <w:r w:rsidRPr="00DD70E5">
        <w:rPr>
          <w:lang w:val="en-US"/>
        </w:rPr>
        <w:t>kondisi</w:t>
      </w:r>
      <w:proofErr w:type="spellEnd"/>
      <w:r w:rsidR="00737421">
        <w:rPr>
          <w:lang w:val="en-US"/>
        </w:rPr>
        <w:t xml:space="preserve"> </w:t>
      </w:r>
      <w:proofErr w:type="spellStart"/>
      <w:r w:rsidR="00737421">
        <w:rPr>
          <w:lang w:val="en-US"/>
        </w:rPr>
        <w:t>dan</w:t>
      </w:r>
      <w:proofErr w:type="spellEnd"/>
      <w:r w:rsidR="00737421">
        <w:rPr>
          <w:lang w:val="en-US"/>
        </w:rPr>
        <w:t xml:space="preserve"> </w:t>
      </w:r>
      <w:proofErr w:type="spellStart"/>
      <w:r w:rsidR="00737421">
        <w:rPr>
          <w:lang w:val="en-US"/>
        </w:rPr>
        <w:t>analogi</w:t>
      </w:r>
      <w:proofErr w:type="spellEnd"/>
      <w:r w:rsidR="00737421">
        <w:rPr>
          <w:lang w:val="en-US"/>
        </w:rPr>
        <w:t xml:space="preserve"> </w:t>
      </w:r>
      <w:proofErr w:type="spellStart"/>
      <w:r w:rsidR="00737421">
        <w:rPr>
          <w:lang w:val="en-US"/>
        </w:rPr>
        <w:t>dari</w:t>
      </w:r>
      <w:proofErr w:type="spellEnd"/>
      <w:r w:rsidR="00737421">
        <w:rPr>
          <w:lang w:val="en-US"/>
        </w:rPr>
        <w:t xml:space="preserve"> </w:t>
      </w:r>
      <w:proofErr w:type="spellStart"/>
      <w:r w:rsidR="00737421">
        <w:rPr>
          <w:lang w:val="en-US"/>
        </w:rPr>
        <w:t>penelitian-penelitian</w:t>
      </w:r>
      <w:proofErr w:type="spellEnd"/>
      <w:r w:rsidR="00737421">
        <w:rPr>
          <w:lang w:val="en-US"/>
        </w:rPr>
        <w:t xml:space="preserve"> </w:t>
      </w:r>
      <w:proofErr w:type="spellStart"/>
      <w:r w:rsidR="00737421">
        <w:rPr>
          <w:lang w:val="en-US"/>
        </w:rPr>
        <w:t>terdahulu</w:t>
      </w:r>
      <w:proofErr w:type="spellEnd"/>
      <w:r w:rsidR="00F009AB">
        <w:rPr>
          <w:lang w:val="en-US"/>
        </w:rPr>
        <w:t xml:space="preserve">, </w:t>
      </w:r>
      <w:proofErr w:type="spellStart"/>
      <w:r w:rsidRPr="00DD70E5">
        <w:rPr>
          <w:lang w:val="en-US"/>
        </w:rPr>
        <w:t>dan</w:t>
      </w:r>
      <w:proofErr w:type="spellEnd"/>
      <w:r w:rsidR="00F009AB">
        <w:rPr>
          <w:lang w:val="en-US"/>
        </w:rPr>
        <w:t xml:space="preserve"> </w:t>
      </w:r>
      <w:proofErr w:type="spellStart"/>
      <w:proofErr w:type="gramStart"/>
      <w:r w:rsidR="00F009AB">
        <w:rPr>
          <w:lang w:val="en-US"/>
        </w:rPr>
        <w:t>berdasarkan</w:t>
      </w:r>
      <w:proofErr w:type="spellEnd"/>
      <w:r w:rsidR="00F009AB">
        <w:rPr>
          <w:lang w:val="en-US"/>
        </w:rPr>
        <w:t xml:space="preserve"> </w:t>
      </w:r>
      <w:r w:rsidRPr="00DD70E5">
        <w:rPr>
          <w:lang w:val="en-US"/>
        </w:rPr>
        <w:t xml:space="preserve"> </w:t>
      </w:r>
      <w:proofErr w:type="spellStart"/>
      <w:r w:rsidRPr="00DD70E5">
        <w:rPr>
          <w:lang w:val="en-US"/>
        </w:rPr>
        <w:t>latar</w:t>
      </w:r>
      <w:proofErr w:type="spellEnd"/>
      <w:proofErr w:type="gramEnd"/>
      <w:r w:rsidRPr="00DD70E5">
        <w:rPr>
          <w:lang w:val="en-US"/>
        </w:rPr>
        <w:t xml:space="preserve"> </w:t>
      </w:r>
      <w:proofErr w:type="spellStart"/>
      <w:r w:rsidRPr="00DD70E5">
        <w:rPr>
          <w:lang w:val="en-US"/>
        </w:rPr>
        <w:t>belakang</w:t>
      </w:r>
      <w:proofErr w:type="spellEnd"/>
      <w:r w:rsidRPr="00DD70E5">
        <w:rPr>
          <w:lang w:val="en-US"/>
        </w:rPr>
        <w:t xml:space="preserve"> </w:t>
      </w:r>
      <w:proofErr w:type="spellStart"/>
      <w:r w:rsidR="00F009AB">
        <w:rPr>
          <w:lang w:val="en-US"/>
        </w:rPr>
        <w:t>dari</w:t>
      </w:r>
      <w:proofErr w:type="spellEnd"/>
      <w:r w:rsidR="00F009AB">
        <w:rPr>
          <w:lang w:val="en-US"/>
        </w:rPr>
        <w:t xml:space="preserve"> </w:t>
      </w:r>
      <w:proofErr w:type="spellStart"/>
      <w:r w:rsidRPr="00DD70E5">
        <w:rPr>
          <w:lang w:val="en-US"/>
        </w:rPr>
        <w:t>m</w:t>
      </w:r>
      <w:r w:rsidR="00D21BFC" w:rsidRPr="00DD70E5">
        <w:rPr>
          <w:lang w:val="en-US"/>
        </w:rPr>
        <w:t>asalah</w:t>
      </w:r>
      <w:proofErr w:type="spellEnd"/>
      <w:r w:rsidR="00D21BFC" w:rsidRPr="00DD70E5">
        <w:rPr>
          <w:lang w:val="en-US"/>
        </w:rPr>
        <w:t xml:space="preserve"> </w:t>
      </w:r>
      <w:proofErr w:type="spellStart"/>
      <w:r w:rsidR="00D21BFC" w:rsidRPr="00DD70E5">
        <w:rPr>
          <w:lang w:val="en-US"/>
        </w:rPr>
        <w:t>tersebut</w:t>
      </w:r>
      <w:proofErr w:type="spellEnd"/>
      <w:r w:rsidR="00D21BFC" w:rsidRPr="00DD70E5">
        <w:rPr>
          <w:lang w:val="en-US"/>
        </w:rPr>
        <w:t xml:space="preserve"> </w:t>
      </w:r>
      <w:proofErr w:type="spellStart"/>
      <w:r w:rsidR="00D21BFC" w:rsidRPr="00DD70E5">
        <w:rPr>
          <w:lang w:val="en-US"/>
        </w:rPr>
        <w:t>maka</w:t>
      </w:r>
      <w:proofErr w:type="spellEnd"/>
      <w:r w:rsidR="00D21BFC" w:rsidRPr="00DD70E5">
        <w:rPr>
          <w:lang w:val="en-US"/>
        </w:rPr>
        <w:t xml:space="preserve"> </w:t>
      </w:r>
      <w:r w:rsidR="00D21BFC" w:rsidRPr="00DD70E5">
        <w:rPr>
          <w:lang w:val="id-ID" w:eastAsia="id-ID"/>
        </w:rPr>
        <w:t xml:space="preserve">penulis tertarik untuk meneliti </w:t>
      </w:r>
      <w:r w:rsidR="00D21BFC" w:rsidRPr="00DD70E5">
        <w:rPr>
          <w:b/>
          <w:lang w:val="id-ID" w:eastAsia="id-ID"/>
        </w:rPr>
        <w:t>Pengaruh Pendapatan Asli Daerah dan Dana Perimbangan terhadap Belanja Daerah pada Kabupaten dan Kota di Sumatera Barat.</w:t>
      </w:r>
      <w:r w:rsidRPr="00DD70E5">
        <w:rPr>
          <w:lang w:val="en-US"/>
        </w:rPr>
        <w:t xml:space="preserve"> </w:t>
      </w:r>
    </w:p>
    <w:p w:rsidR="00B4725A" w:rsidRPr="00B4725A" w:rsidRDefault="00B4725A" w:rsidP="00B4725A">
      <w:pPr>
        <w:spacing w:line="480" w:lineRule="auto"/>
        <w:ind w:left="360" w:firstLine="810"/>
        <w:jc w:val="both"/>
        <w:rPr>
          <w:lang w:val="en-US"/>
        </w:rPr>
      </w:pPr>
    </w:p>
    <w:p w:rsidR="00396B80" w:rsidRPr="00DD70E5" w:rsidRDefault="00396B80" w:rsidP="00DE4C07">
      <w:pPr>
        <w:pStyle w:val="ListParagraph"/>
        <w:numPr>
          <w:ilvl w:val="1"/>
          <w:numId w:val="7"/>
        </w:numPr>
        <w:tabs>
          <w:tab w:val="left" w:pos="426"/>
        </w:tabs>
        <w:spacing w:line="480" w:lineRule="auto"/>
        <w:ind w:left="567" w:hanging="567"/>
        <w:jc w:val="both"/>
        <w:rPr>
          <w:b/>
          <w:lang w:val="en-US" w:eastAsia="id-ID"/>
        </w:rPr>
      </w:pPr>
      <w:proofErr w:type="spellStart"/>
      <w:r w:rsidRPr="00DD70E5">
        <w:rPr>
          <w:b/>
          <w:lang w:val="en-US" w:eastAsia="id-ID"/>
        </w:rPr>
        <w:t>Rumusan</w:t>
      </w:r>
      <w:proofErr w:type="spellEnd"/>
      <w:r w:rsidRPr="00DD70E5">
        <w:rPr>
          <w:b/>
          <w:lang w:val="en-US" w:eastAsia="id-ID"/>
        </w:rPr>
        <w:t xml:space="preserve"> </w:t>
      </w:r>
      <w:r w:rsidRPr="00DE4C07">
        <w:rPr>
          <w:b/>
          <w:lang w:val="id-ID"/>
        </w:rPr>
        <w:t>Masalah</w:t>
      </w:r>
    </w:p>
    <w:p w:rsidR="00396B80" w:rsidRPr="00DD70E5" w:rsidRDefault="00396B80" w:rsidP="00B52854">
      <w:pPr>
        <w:spacing w:line="480" w:lineRule="auto"/>
        <w:ind w:left="360" w:firstLine="810"/>
        <w:jc w:val="both"/>
        <w:rPr>
          <w:lang w:val="id-ID" w:eastAsia="id-ID"/>
        </w:rPr>
      </w:pPr>
      <w:proofErr w:type="spellStart"/>
      <w:r w:rsidRPr="00B52854">
        <w:rPr>
          <w:lang w:val="en-US"/>
        </w:rPr>
        <w:t>Berdasarkan</w:t>
      </w:r>
      <w:proofErr w:type="spellEnd"/>
      <w:r w:rsidRPr="00DD70E5">
        <w:rPr>
          <w:lang w:val="id-ID" w:eastAsia="id-ID"/>
        </w:rPr>
        <w:t xml:space="preserve"> </w:t>
      </w:r>
      <w:proofErr w:type="spellStart"/>
      <w:r w:rsidR="00037498">
        <w:rPr>
          <w:lang w:val="en-US" w:eastAsia="id-ID"/>
        </w:rPr>
        <w:t>latar</w:t>
      </w:r>
      <w:proofErr w:type="spellEnd"/>
      <w:r w:rsidR="00037498">
        <w:rPr>
          <w:lang w:val="en-US" w:eastAsia="id-ID"/>
        </w:rPr>
        <w:t xml:space="preserve"> </w:t>
      </w:r>
      <w:proofErr w:type="spellStart"/>
      <w:r w:rsidR="00037498">
        <w:rPr>
          <w:lang w:val="en-US" w:eastAsia="id-ID"/>
        </w:rPr>
        <w:t>belakang</w:t>
      </w:r>
      <w:proofErr w:type="spellEnd"/>
      <w:r w:rsidR="00037498">
        <w:rPr>
          <w:lang w:val="en-US" w:eastAsia="id-ID"/>
        </w:rPr>
        <w:t xml:space="preserve"> </w:t>
      </w:r>
      <w:r w:rsidR="00037498">
        <w:rPr>
          <w:lang w:val="id-ID" w:eastAsia="id-ID"/>
        </w:rPr>
        <w:t>di</w:t>
      </w:r>
      <w:r w:rsidRPr="00DD70E5">
        <w:rPr>
          <w:lang w:val="id-ID" w:eastAsia="id-ID"/>
        </w:rPr>
        <w:t>atas dapat penulis rumuskan permasalahan yang akan dibahas dalam penelitian ini adalah:</w:t>
      </w:r>
    </w:p>
    <w:p w:rsidR="00396B80" w:rsidRPr="00DD70E5" w:rsidRDefault="004516D7" w:rsidP="00DE4C07">
      <w:pPr>
        <w:pStyle w:val="ListParagraph"/>
        <w:numPr>
          <w:ilvl w:val="0"/>
          <w:numId w:val="4"/>
        </w:numPr>
        <w:tabs>
          <w:tab w:val="left" w:pos="709"/>
          <w:tab w:val="left" w:pos="993"/>
        </w:tabs>
        <w:spacing w:line="480" w:lineRule="auto"/>
        <w:ind w:left="426" w:hanging="11"/>
        <w:jc w:val="both"/>
        <w:rPr>
          <w:lang w:val="id-ID" w:eastAsia="id-ID"/>
        </w:rPr>
      </w:pPr>
      <w:proofErr w:type="spellStart"/>
      <w:r>
        <w:rPr>
          <w:lang w:val="en-US" w:eastAsia="id-ID"/>
        </w:rPr>
        <w:t>Apakah</w:t>
      </w:r>
      <w:proofErr w:type="spellEnd"/>
      <w:r>
        <w:rPr>
          <w:lang w:val="en-US" w:eastAsia="id-ID"/>
        </w:rPr>
        <w:t xml:space="preserve"> </w:t>
      </w:r>
      <w:r w:rsidR="00396B80" w:rsidRPr="00DD70E5">
        <w:rPr>
          <w:lang w:val="id-ID" w:eastAsia="id-ID"/>
        </w:rPr>
        <w:t>pendapatan asli daerah</w:t>
      </w:r>
      <w:r>
        <w:rPr>
          <w:lang w:val="en-US" w:eastAsia="id-ID"/>
        </w:rPr>
        <w:t xml:space="preserve"> </w:t>
      </w:r>
      <w:proofErr w:type="spellStart"/>
      <w:r>
        <w:rPr>
          <w:lang w:val="en-US" w:eastAsia="id-ID"/>
        </w:rPr>
        <w:t>berpengaruh</w:t>
      </w:r>
      <w:proofErr w:type="spellEnd"/>
      <w:r w:rsidR="001E2DF5">
        <w:rPr>
          <w:lang w:val="id-ID" w:eastAsia="id-ID"/>
        </w:rPr>
        <w:t xml:space="preserve"> terhadap belanja </w:t>
      </w:r>
      <w:proofErr w:type="gramStart"/>
      <w:r w:rsidR="001E2DF5">
        <w:rPr>
          <w:lang w:val="id-ID" w:eastAsia="id-ID"/>
        </w:rPr>
        <w:t>daerah ?</w:t>
      </w:r>
      <w:proofErr w:type="gramEnd"/>
    </w:p>
    <w:p w:rsidR="00396B80" w:rsidRDefault="004516D7" w:rsidP="00DE4C07">
      <w:pPr>
        <w:pStyle w:val="ListParagraph"/>
        <w:numPr>
          <w:ilvl w:val="0"/>
          <w:numId w:val="4"/>
        </w:numPr>
        <w:tabs>
          <w:tab w:val="left" w:pos="709"/>
          <w:tab w:val="left" w:pos="993"/>
        </w:tabs>
        <w:spacing w:line="480" w:lineRule="auto"/>
        <w:ind w:left="426" w:hanging="11"/>
        <w:jc w:val="both"/>
        <w:rPr>
          <w:lang w:val="id-ID" w:eastAsia="id-ID"/>
        </w:rPr>
      </w:pPr>
      <w:proofErr w:type="spellStart"/>
      <w:r>
        <w:rPr>
          <w:lang w:val="en-US" w:eastAsia="id-ID"/>
        </w:rPr>
        <w:t>Apakah</w:t>
      </w:r>
      <w:proofErr w:type="spellEnd"/>
      <w:r>
        <w:rPr>
          <w:lang w:val="en-US" w:eastAsia="id-ID"/>
        </w:rPr>
        <w:t xml:space="preserve"> </w:t>
      </w:r>
      <w:r w:rsidR="00396B80" w:rsidRPr="00DD70E5">
        <w:rPr>
          <w:lang w:val="id-ID" w:eastAsia="id-ID"/>
        </w:rPr>
        <w:t xml:space="preserve">dana perimbangan </w:t>
      </w:r>
      <w:proofErr w:type="spellStart"/>
      <w:r>
        <w:rPr>
          <w:lang w:val="en-US" w:eastAsia="id-ID"/>
        </w:rPr>
        <w:t>berpengaruh</w:t>
      </w:r>
      <w:proofErr w:type="spellEnd"/>
      <w:r>
        <w:rPr>
          <w:lang w:val="en-US" w:eastAsia="id-ID"/>
        </w:rPr>
        <w:t xml:space="preserve"> </w:t>
      </w:r>
      <w:r w:rsidR="00396B80" w:rsidRPr="00DD70E5">
        <w:rPr>
          <w:lang w:val="id-ID" w:eastAsia="id-ID"/>
        </w:rPr>
        <w:t xml:space="preserve">terhadap </w:t>
      </w:r>
      <w:r w:rsidR="001E2DF5">
        <w:rPr>
          <w:lang w:val="id-ID" w:eastAsia="id-ID"/>
        </w:rPr>
        <w:t xml:space="preserve">belanja </w:t>
      </w:r>
      <w:proofErr w:type="gramStart"/>
      <w:r w:rsidR="001E2DF5">
        <w:rPr>
          <w:lang w:val="id-ID" w:eastAsia="id-ID"/>
        </w:rPr>
        <w:t>daerah ?</w:t>
      </w:r>
      <w:proofErr w:type="gramEnd"/>
    </w:p>
    <w:p w:rsidR="00A01C64" w:rsidRPr="00DD70E5" w:rsidRDefault="00A01C64" w:rsidP="00DE4C07">
      <w:pPr>
        <w:pStyle w:val="ListParagraph"/>
        <w:tabs>
          <w:tab w:val="left" w:pos="709"/>
          <w:tab w:val="left" w:pos="993"/>
        </w:tabs>
        <w:spacing w:line="480" w:lineRule="auto"/>
        <w:ind w:left="426"/>
        <w:jc w:val="both"/>
        <w:rPr>
          <w:lang w:val="id-ID" w:eastAsia="id-ID"/>
        </w:rPr>
      </w:pPr>
    </w:p>
    <w:p w:rsidR="00396B80" w:rsidRPr="00A01C64" w:rsidRDefault="00396B80" w:rsidP="00DE4C07">
      <w:pPr>
        <w:pStyle w:val="ListParagraph"/>
        <w:numPr>
          <w:ilvl w:val="1"/>
          <w:numId w:val="7"/>
        </w:numPr>
        <w:tabs>
          <w:tab w:val="left" w:pos="426"/>
        </w:tabs>
        <w:spacing w:line="480" w:lineRule="auto"/>
        <w:ind w:left="567" w:hanging="567"/>
        <w:jc w:val="both"/>
        <w:rPr>
          <w:b/>
          <w:lang w:val="en-US" w:eastAsia="id-ID"/>
        </w:rPr>
      </w:pPr>
      <w:proofErr w:type="spellStart"/>
      <w:r w:rsidRPr="00A01C64">
        <w:rPr>
          <w:b/>
          <w:lang w:val="en-US" w:eastAsia="id-ID"/>
        </w:rPr>
        <w:t>Tujuan</w:t>
      </w:r>
      <w:proofErr w:type="spellEnd"/>
      <w:r w:rsidRPr="00A01C64">
        <w:rPr>
          <w:b/>
          <w:lang w:val="en-US" w:eastAsia="id-ID"/>
        </w:rPr>
        <w:t xml:space="preserve"> </w:t>
      </w:r>
      <w:r w:rsidRPr="00DE4C07">
        <w:rPr>
          <w:b/>
          <w:lang w:val="id-ID"/>
        </w:rPr>
        <w:t>Penelitian</w:t>
      </w:r>
    </w:p>
    <w:p w:rsidR="00396B80" w:rsidRPr="00DD70E5" w:rsidRDefault="00396B80" w:rsidP="00B52854">
      <w:pPr>
        <w:spacing w:line="480" w:lineRule="auto"/>
        <w:ind w:left="360" w:firstLine="810"/>
        <w:jc w:val="both"/>
        <w:rPr>
          <w:lang w:val="id-ID" w:eastAsia="id-ID"/>
        </w:rPr>
      </w:pPr>
      <w:r w:rsidRPr="00DD70E5">
        <w:rPr>
          <w:lang w:val="id-ID" w:eastAsia="id-ID"/>
        </w:rPr>
        <w:t>Tujuan penelitian ini adalah untuk memperoleh bukti empiris tentang:</w:t>
      </w:r>
    </w:p>
    <w:p w:rsidR="00396B80" w:rsidRPr="00DD70E5" w:rsidRDefault="00396B80" w:rsidP="00DE4C07">
      <w:pPr>
        <w:pStyle w:val="ListParagraph"/>
        <w:numPr>
          <w:ilvl w:val="0"/>
          <w:numId w:val="5"/>
        </w:numPr>
        <w:tabs>
          <w:tab w:val="left" w:pos="993"/>
        </w:tabs>
        <w:spacing w:line="480" w:lineRule="auto"/>
        <w:ind w:hanging="294"/>
        <w:jc w:val="both"/>
        <w:rPr>
          <w:lang w:val="id-ID" w:eastAsia="id-ID"/>
        </w:rPr>
      </w:pPr>
      <w:r w:rsidRPr="00DD70E5">
        <w:rPr>
          <w:lang w:val="id-ID" w:eastAsia="id-ID"/>
        </w:rPr>
        <w:t>Pengaruh pendapatan asli daerah terhadap belanja daerah.</w:t>
      </w:r>
    </w:p>
    <w:p w:rsidR="00A1309C" w:rsidRDefault="00396B80" w:rsidP="00DE4C07">
      <w:pPr>
        <w:pStyle w:val="ListParagraph"/>
        <w:numPr>
          <w:ilvl w:val="0"/>
          <w:numId w:val="5"/>
        </w:numPr>
        <w:tabs>
          <w:tab w:val="left" w:pos="993"/>
        </w:tabs>
        <w:spacing w:line="480" w:lineRule="auto"/>
        <w:ind w:hanging="294"/>
        <w:jc w:val="both"/>
        <w:rPr>
          <w:lang w:val="id-ID" w:eastAsia="id-ID"/>
        </w:rPr>
      </w:pPr>
      <w:r w:rsidRPr="00DD70E5">
        <w:rPr>
          <w:lang w:val="id-ID" w:eastAsia="id-ID"/>
        </w:rPr>
        <w:t>Pengaruh dana perimbangan terhadap belanja daerah.</w:t>
      </w:r>
    </w:p>
    <w:p w:rsidR="00A01C64" w:rsidRPr="0052779A" w:rsidRDefault="00A01C64" w:rsidP="00DE4C07">
      <w:pPr>
        <w:tabs>
          <w:tab w:val="left" w:pos="993"/>
        </w:tabs>
        <w:spacing w:line="480" w:lineRule="auto"/>
        <w:jc w:val="both"/>
        <w:rPr>
          <w:lang w:val="id-ID" w:eastAsia="id-ID"/>
        </w:rPr>
      </w:pPr>
    </w:p>
    <w:p w:rsidR="00C40DFD" w:rsidRPr="00A01C64" w:rsidRDefault="00A1309C" w:rsidP="00DE4C07">
      <w:pPr>
        <w:pStyle w:val="ListParagraph"/>
        <w:numPr>
          <w:ilvl w:val="1"/>
          <w:numId w:val="7"/>
        </w:numPr>
        <w:tabs>
          <w:tab w:val="left" w:pos="426"/>
        </w:tabs>
        <w:spacing w:line="480" w:lineRule="auto"/>
        <w:ind w:left="567" w:hanging="567"/>
        <w:jc w:val="both"/>
        <w:rPr>
          <w:b/>
          <w:lang w:val="id-ID" w:eastAsia="id-ID"/>
        </w:rPr>
      </w:pPr>
      <w:proofErr w:type="spellStart"/>
      <w:r w:rsidRPr="00A01C64">
        <w:rPr>
          <w:b/>
          <w:lang w:val="en-US" w:eastAsia="id-ID"/>
        </w:rPr>
        <w:lastRenderedPageBreak/>
        <w:t>Manfaat</w:t>
      </w:r>
      <w:proofErr w:type="spellEnd"/>
      <w:r w:rsidRPr="00A01C64">
        <w:rPr>
          <w:b/>
          <w:lang w:val="en-US" w:eastAsia="id-ID"/>
        </w:rPr>
        <w:t xml:space="preserve"> </w:t>
      </w:r>
      <w:r w:rsidRPr="00DE4C07">
        <w:rPr>
          <w:b/>
          <w:lang w:val="id-ID"/>
        </w:rPr>
        <w:t>Penelitian</w:t>
      </w:r>
      <w:r w:rsidRPr="00A01C64">
        <w:rPr>
          <w:b/>
          <w:lang w:val="en-US" w:eastAsia="id-ID"/>
        </w:rPr>
        <w:t xml:space="preserve">   </w:t>
      </w:r>
    </w:p>
    <w:p w:rsidR="00C40DFD" w:rsidRPr="00DD70E5" w:rsidRDefault="00C40DFD" w:rsidP="00B52854">
      <w:pPr>
        <w:spacing w:line="480" w:lineRule="auto"/>
        <w:ind w:left="360" w:firstLine="810"/>
        <w:jc w:val="both"/>
        <w:rPr>
          <w:lang w:val="id-ID" w:eastAsia="id-ID"/>
        </w:rPr>
      </w:pPr>
      <w:r w:rsidRPr="00DD70E5">
        <w:rPr>
          <w:lang w:val="id-ID" w:eastAsia="id-ID"/>
        </w:rPr>
        <w:t xml:space="preserve">Adapun </w:t>
      </w:r>
      <w:r w:rsidRPr="00B52854">
        <w:rPr>
          <w:lang w:val="en-US"/>
        </w:rPr>
        <w:t>manfaat</w:t>
      </w:r>
      <w:r w:rsidRPr="00DD70E5">
        <w:rPr>
          <w:lang w:val="id-ID" w:eastAsia="id-ID"/>
        </w:rPr>
        <w:t xml:space="preserve"> penelitian yang diharapkan dari penelitian ini adalah:</w:t>
      </w:r>
    </w:p>
    <w:p w:rsidR="00C40DFD" w:rsidRPr="00DD70E5" w:rsidRDefault="00037498" w:rsidP="00DE4C07">
      <w:pPr>
        <w:pStyle w:val="ListParagraph"/>
        <w:numPr>
          <w:ilvl w:val="0"/>
          <w:numId w:val="6"/>
        </w:numPr>
        <w:tabs>
          <w:tab w:val="left" w:pos="1418"/>
        </w:tabs>
        <w:spacing w:line="480" w:lineRule="auto"/>
        <w:ind w:left="709" w:hanging="284"/>
        <w:jc w:val="both"/>
        <w:rPr>
          <w:lang w:val="id-ID" w:eastAsia="id-ID"/>
        </w:rPr>
      </w:pPr>
      <w:r w:rsidRPr="00DD70E5">
        <w:rPr>
          <w:lang w:val="id-ID" w:eastAsia="id-ID"/>
        </w:rPr>
        <w:t xml:space="preserve">Bagi peneliti, menambah ilmu pengetahuan dan wawasan </w:t>
      </w:r>
      <w:proofErr w:type="spellStart"/>
      <w:r w:rsidRPr="00DD70E5">
        <w:rPr>
          <w:lang w:val="en-US" w:eastAsia="id-ID"/>
        </w:rPr>
        <w:t>dalam</w:t>
      </w:r>
      <w:proofErr w:type="spellEnd"/>
      <w:r w:rsidRPr="00DD70E5">
        <w:rPr>
          <w:lang w:val="en-US" w:eastAsia="id-ID"/>
        </w:rPr>
        <w:t xml:space="preserve"> </w:t>
      </w:r>
      <w:proofErr w:type="spellStart"/>
      <w:r w:rsidRPr="00DD70E5">
        <w:rPr>
          <w:lang w:val="en-US" w:eastAsia="id-ID"/>
        </w:rPr>
        <w:t>mengalisa</w:t>
      </w:r>
      <w:proofErr w:type="spellEnd"/>
      <w:r w:rsidRPr="00DD70E5">
        <w:rPr>
          <w:lang w:val="en-US" w:eastAsia="id-ID"/>
        </w:rPr>
        <w:t xml:space="preserve"> </w:t>
      </w:r>
      <w:proofErr w:type="spellStart"/>
      <w:r w:rsidRPr="00DD70E5">
        <w:rPr>
          <w:lang w:val="en-US" w:eastAsia="id-ID"/>
        </w:rPr>
        <w:t>masalah</w:t>
      </w:r>
      <w:proofErr w:type="spellEnd"/>
      <w:r w:rsidRPr="00DD70E5">
        <w:rPr>
          <w:lang w:val="en-US" w:eastAsia="id-ID"/>
        </w:rPr>
        <w:t xml:space="preserve"> APBD, </w:t>
      </w:r>
      <w:r w:rsidRPr="00DD70E5">
        <w:rPr>
          <w:lang w:val="id-ID" w:eastAsia="id-ID"/>
        </w:rPr>
        <w:t>serta menambah pengalaman peneliti dalam bidang penelitian</w:t>
      </w:r>
      <w:r>
        <w:rPr>
          <w:lang w:val="id-ID" w:eastAsia="id-ID"/>
        </w:rPr>
        <w:t>.</w:t>
      </w:r>
    </w:p>
    <w:p w:rsidR="00C40DFD" w:rsidRPr="00037498" w:rsidRDefault="00037498" w:rsidP="00A32525">
      <w:pPr>
        <w:pStyle w:val="ListParagraph"/>
        <w:numPr>
          <w:ilvl w:val="0"/>
          <w:numId w:val="6"/>
        </w:numPr>
        <w:tabs>
          <w:tab w:val="left" w:pos="1418"/>
        </w:tabs>
        <w:spacing w:line="480" w:lineRule="auto"/>
        <w:ind w:hanging="288"/>
        <w:jc w:val="both"/>
        <w:rPr>
          <w:lang w:val="id-ID" w:eastAsia="id-ID"/>
        </w:rPr>
      </w:pPr>
      <w:r w:rsidRPr="00DD70E5">
        <w:rPr>
          <w:lang w:val="id-ID" w:eastAsia="id-ID"/>
        </w:rPr>
        <w:t>Bagi Pemerintah Daerah, diharapkan penelitian ini</w:t>
      </w:r>
      <w:r w:rsidR="00A64602">
        <w:rPr>
          <w:lang w:val="id-ID" w:eastAsia="id-ID"/>
        </w:rPr>
        <w:t xml:space="preserve"> dapat memberikan masukan dalam </w:t>
      </w:r>
      <w:r w:rsidRPr="00DD70E5">
        <w:rPr>
          <w:lang w:val="id-ID" w:eastAsia="id-ID"/>
        </w:rPr>
        <w:t xml:space="preserve">upaya pengelolaan APBD </w:t>
      </w:r>
      <w:proofErr w:type="spellStart"/>
      <w:r w:rsidRPr="00DD70E5">
        <w:rPr>
          <w:lang w:val="en-US" w:eastAsia="id-ID"/>
        </w:rPr>
        <w:t>dan</w:t>
      </w:r>
      <w:proofErr w:type="spellEnd"/>
      <w:r w:rsidRPr="00DD70E5">
        <w:rPr>
          <w:lang w:val="en-US" w:eastAsia="id-ID"/>
        </w:rPr>
        <w:t xml:space="preserve"> </w:t>
      </w:r>
      <w:proofErr w:type="spellStart"/>
      <w:r w:rsidRPr="00DD70E5">
        <w:rPr>
          <w:lang w:val="en-US" w:eastAsia="id-ID"/>
        </w:rPr>
        <w:t>menjadi</w:t>
      </w:r>
      <w:proofErr w:type="spellEnd"/>
      <w:r w:rsidRPr="00DD70E5">
        <w:rPr>
          <w:lang w:val="en-US" w:eastAsia="id-ID"/>
        </w:rPr>
        <w:t xml:space="preserve"> </w:t>
      </w:r>
      <w:proofErr w:type="spellStart"/>
      <w:r w:rsidRPr="00DD70E5">
        <w:rPr>
          <w:lang w:val="en-US" w:eastAsia="id-ID"/>
        </w:rPr>
        <w:t>bahan</w:t>
      </w:r>
      <w:proofErr w:type="spellEnd"/>
      <w:r w:rsidRPr="00DD70E5">
        <w:rPr>
          <w:lang w:val="en-US" w:eastAsia="id-ID"/>
        </w:rPr>
        <w:t xml:space="preserve"> </w:t>
      </w:r>
      <w:proofErr w:type="spellStart"/>
      <w:r w:rsidRPr="00DD70E5">
        <w:rPr>
          <w:lang w:val="en-US" w:eastAsia="id-ID"/>
        </w:rPr>
        <w:t>pertimbangan</w:t>
      </w:r>
      <w:proofErr w:type="spellEnd"/>
      <w:r w:rsidRPr="00DD70E5">
        <w:rPr>
          <w:lang w:val="en-US" w:eastAsia="id-ID"/>
        </w:rPr>
        <w:t xml:space="preserve"> </w:t>
      </w:r>
      <w:proofErr w:type="spellStart"/>
      <w:r w:rsidRPr="00DD70E5">
        <w:rPr>
          <w:lang w:val="en-US" w:eastAsia="id-ID"/>
        </w:rPr>
        <w:t>bagi</w:t>
      </w:r>
      <w:proofErr w:type="spellEnd"/>
      <w:r w:rsidRPr="00DD70E5">
        <w:rPr>
          <w:lang w:val="en-US" w:eastAsia="id-ID"/>
        </w:rPr>
        <w:t xml:space="preserve"> </w:t>
      </w:r>
      <w:proofErr w:type="spellStart"/>
      <w:r w:rsidRPr="00DD70E5">
        <w:rPr>
          <w:lang w:val="en-US" w:eastAsia="id-ID"/>
        </w:rPr>
        <w:t>masing-masing</w:t>
      </w:r>
      <w:proofErr w:type="spellEnd"/>
      <w:r w:rsidRPr="00DD70E5">
        <w:rPr>
          <w:lang w:val="en-US" w:eastAsia="id-ID"/>
        </w:rPr>
        <w:t xml:space="preserve"> </w:t>
      </w:r>
      <w:proofErr w:type="spellStart"/>
      <w:r w:rsidRPr="00DD70E5">
        <w:rPr>
          <w:lang w:val="en-US" w:eastAsia="id-ID"/>
        </w:rPr>
        <w:t>pemegang</w:t>
      </w:r>
      <w:proofErr w:type="spellEnd"/>
      <w:r w:rsidRPr="00DD70E5">
        <w:rPr>
          <w:lang w:val="en-US" w:eastAsia="id-ID"/>
        </w:rPr>
        <w:t xml:space="preserve"> </w:t>
      </w:r>
      <w:proofErr w:type="spellStart"/>
      <w:r w:rsidRPr="00DD70E5">
        <w:rPr>
          <w:lang w:val="en-US" w:eastAsia="id-ID"/>
        </w:rPr>
        <w:t>kebijakan</w:t>
      </w:r>
      <w:proofErr w:type="spellEnd"/>
      <w:r w:rsidRPr="00DD70E5">
        <w:rPr>
          <w:lang w:val="en-US" w:eastAsia="id-ID"/>
        </w:rPr>
        <w:t xml:space="preserve"> di </w:t>
      </w:r>
      <w:proofErr w:type="spellStart"/>
      <w:r w:rsidRPr="00DD70E5">
        <w:rPr>
          <w:lang w:val="en-US" w:eastAsia="id-ID"/>
        </w:rPr>
        <w:t>pemerintah</w:t>
      </w:r>
      <w:proofErr w:type="spellEnd"/>
      <w:r w:rsidRPr="00DD70E5">
        <w:rPr>
          <w:lang w:val="en-US" w:eastAsia="id-ID"/>
        </w:rPr>
        <w:t xml:space="preserve"> </w:t>
      </w:r>
      <w:proofErr w:type="spellStart"/>
      <w:r w:rsidRPr="00DD70E5">
        <w:rPr>
          <w:lang w:val="en-US" w:eastAsia="id-ID"/>
        </w:rPr>
        <w:t>daerah</w:t>
      </w:r>
      <w:proofErr w:type="spellEnd"/>
    </w:p>
    <w:p w:rsidR="00C40DFD" w:rsidRPr="00DD70E5" w:rsidRDefault="00C40DFD" w:rsidP="00DE4C07">
      <w:pPr>
        <w:pStyle w:val="ListParagraph"/>
        <w:numPr>
          <w:ilvl w:val="0"/>
          <w:numId w:val="6"/>
        </w:numPr>
        <w:spacing w:line="480" w:lineRule="auto"/>
        <w:ind w:left="709" w:hanging="284"/>
        <w:jc w:val="both"/>
        <w:rPr>
          <w:lang w:val="id-ID" w:eastAsia="id-ID"/>
        </w:rPr>
      </w:pPr>
      <w:r w:rsidRPr="00DD70E5">
        <w:rPr>
          <w:lang w:val="id-ID" w:eastAsia="id-ID"/>
        </w:rPr>
        <w:t>Bagi peneliti selanjutnya dapat m</w:t>
      </w:r>
      <w:bookmarkStart w:id="0" w:name="_GoBack"/>
      <w:bookmarkEnd w:id="0"/>
      <w:r w:rsidRPr="00DD70E5">
        <w:rPr>
          <w:lang w:val="id-ID" w:eastAsia="id-ID"/>
        </w:rPr>
        <w:t>emberikan tambahan referensi terutama penelitian yang berkaitan dengan APBD.</w:t>
      </w:r>
    </w:p>
    <w:p w:rsidR="00A1309C" w:rsidRPr="00DD70E5" w:rsidRDefault="00A1309C" w:rsidP="00DE4C07">
      <w:pPr>
        <w:pStyle w:val="ListParagraph"/>
        <w:spacing w:line="480" w:lineRule="auto"/>
        <w:ind w:left="709"/>
        <w:jc w:val="both"/>
        <w:rPr>
          <w:lang w:val="id-ID" w:eastAsia="id-ID"/>
        </w:rPr>
      </w:pPr>
    </w:p>
    <w:p w:rsidR="00A1309C" w:rsidRPr="00DD70E5" w:rsidRDefault="00A1309C" w:rsidP="00DE4C07">
      <w:pPr>
        <w:pStyle w:val="ListParagraph"/>
        <w:numPr>
          <w:ilvl w:val="1"/>
          <w:numId w:val="7"/>
        </w:numPr>
        <w:tabs>
          <w:tab w:val="left" w:pos="426"/>
        </w:tabs>
        <w:spacing w:line="480" w:lineRule="auto"/>
        <w:ind w:left="567" w:hanging="567"/>
        <w:jc w:val="both"/>
        <w:rPr>
          <w:b/>
          <w:lang w:val="id-ID" w:eastAsia="id-ID"/>
        </w:rPr>
      </w:pPr>
      <w:r w:rsidRPr="00DD70E5">
        <w:rPr>
          <w:b/>
          <w:lang w:val="id-ID"/>
        </w:rPr>
        <w:t>Sistematika</w:t>
      </w:r>
      <w:r w:rsidRPr="00DD70E5">
        <w:rPr>
          <w:b/>
          <w:lang w:val="id-ID" w:eastAsia="id-ID"/>
        </w:rPr>
        <w:t xml:space="preserve"> Penulisan</w:t>
      </w:r>
    </w:p>
    <w:p w:rsidR="00DE4C07" w:rsidRDefault="00A1309C" w:rsidP="00B52854">
      <w:pPr>
        <w:spacing w:line="480" w:lineRule="auto"/>
        <w:ind w:left="360" w:firstLine="810"/>
        <w:jc w:val="both"/>
        <w:rPr>
          <w:lang w:val="id-ID" w:eastAsia="id-ID"/>
        </w:rPr>
      </w:pPr>
      <w:proofErr w:type="spellStart"/>
      <w:r w:rsidRPr="00DD70E5">
        <w:rPr>
          <w:lang w:val="en-US" w:eastAsia="id-ID"/>
        </w:rPr>
        <w:t>Secara</w:t>
      </w:r>
      <w:proofErr w:type="spellEnd"/>
      <w:r w:rsidRPr="00DD70E5">
        <w:rPr>
          <w:lang w:val="en-US" w:eastAsia="id-ID"/>
        </w:rPr>
        <w:t xml:space="preserve"> </w:t>
      </w:r>
      <w:proofErr w:type="spellStart"/>
      <w:r w:rsidRPr="00DD70E5">
        <w:rPr>
          <w:lang w:val="en-US"/>
        </w:rPr>
        <w:t>keseluruhan</w:t>
      </w:r>
      <w:proofErr w:type="spellEnd"/>
      <w:r w:rsidRPr="00DD70E5">
        <w:rPr>
          <w:lang w:val="en-US" w:eastAsia="id-ID"/>
        </w:rPr>
        <w:t xml:space="preserve"> </w:t>
      </w:r>
      <w:proofErr w:type="spellStart"/>
      <w:r w:rsidRPr="00DD70E5">
        <w:rPr>
          <w:lang w:val="en-US" w:eastAsia="id-ID"/>
        </w:rPr>
        <w:t>dalam</w:t>
      </w:r>
      <w:proofErr w:type="spellEnd"/>
      <w:r w:rsidRPr="00DD70E5">
        <w:rPr>
          <w:lang w:val="en-US" w:eastAsia="id-ID"/>
        </w:rPr>
        <w:t xml:space="preserve"> </w:t>
      </w:r>
      <w:proofErr w:type="spellStart"/>
      <w:r w:rsidRPr="00DD70E5">
        <w:rPr>
          <w:lang w:val="en-US" w:eastAsia="id-ID"/>
        </w:rPr>
        <w:t>penelitian</w:t>
      </w:r>
      <w:proofErr w:type="spellEnd"/>
      <w:r w:rsidRPr="00DD70E5">
        <w:rPr>
          <w:lang w:val="en-US" w:eastAsia="id-ID"/>
        </w:rPr>
        <w:t xml:space="preserve"> </w:t>
      </w:r>
      <w:proofErr w:type="spellStart"/>
      <w:r w:rsidRPr="00DD70E5">
        <w:rPr>
          <w:lang w:val="en-US" w:eastAsia="id-ID"/>
        </w:rPr>
        <w:t>ini</w:t>
      </w:r>
      <w:proofErr w:type="spellEnd"/>
      <w:r w:rsidRPr="00DD70E5">
        <w:rPr>
          <w:lang w:val="en-US" w:eastAsia="id-ID"/>
        </w:rPr>
        <w:t xml:space="preserve">, </w:t>
      </w:r>
      <w:proofErr w:type="spellStart"/>
      <w:r w:rsidRPr="00DD70E5">
        <w:rPr>
          <w:lang w:val="en-US" w:eastAsia="id-ID"/>
        </w:rPr>
        <w:t>peneliti</w:t>
      </w:r>
      <w:proofErr w:type="spellEnd"/>
      <w:r w:rsidRPr="00DD70E5">
        <w:rPr>
          <w:lang w:val="en-US" w:eastAsia="id-ID"/>
        </w:rPr>
        <w:t xml:space="preserve"> </w:t>
      </w:r>
      <w:proofErr w:type="spellStart"/>
      <w:r w:rsidRPr="00DD70E5">
        <w:rPr>
          <w:lang w:val="en-US" w:eastAsia="id-ID"/>
        </w:rPr>
        <w:t>akan</w:t>
      </w:r>
      <w:proofErr w:type="spellEnd"/>
      <w:r w:rsidRPr="00DD70E5">
        <w:rPr>
          <w:lang w:val="en-US" w:eastAsia="id-ID"/>
        </w:rPr>
        <w:t xml:space="preserve"> </w:t>
      </w:r>
      <w:proofErr w:type="spellStart"/>
      <w:r w:rsidRPr="00DD70E5">
        <w:rPr>
          <w:lang w:val="en-US" w:eastAsia="id-ID"/>
        </w:rPr>
        <w:t>membagi</w:t>
      </w:r>
      <w:proofErr w:type="spellEnd"/>
      <w:r w:rsidRPr="00DD70E5">
        <w:rPr>
          <w:lang w:val="en-US" w:eastAsia="id-ID"/>
        </w:rPr>
        <w:t xml:space="preserve"> </w:t>
      </w:r>
      <w:proofErr w:type="spellStart"/>
      <w:r w:rsidRPr="00DD70E5">
        <w:rPr>
          <w:lang w:val="en-US" w:eastAsia="id-ID"/>
        </w:rPr>
        <w:t>sistematika</w:t>
      </w:r>
      <w:proofErr w:type="spellEnd"/>
      <w:r w:rsidRPr="00DD70E5">
        <w:rPr>
          <w:lang w:val="en-US" w:eastAsia="id-ID"/>
        </w:rPr>
        <w:t xml:space="preserve"> </w:t>
      </w:r>
      <w:proofErr w:type="spellStart"/>
      <w:r w:rsidRPr="00DD70E5">
        <w:rPr>
          <w:lang w:val="en-US" w:eastAsia="id-ID"/>
        </w:rPr>
        <w:t>penulisan</w:t>
      </w:r>
      <w:proofErr w:type="spellEnd"/>
      <w:r w:rsidRPr="00DD70E5">
        <w:rPr>
          <w:lang w:val="en-US" w:eastAsia="id-ID"/>
        </w:rPr>
        <w:t xml:space="preserve"> </w:t>
      </w:r>
      <w:r w:rsidRPr="00DE4C07">
        <w:rPr>
          <w:lang w:val="id-ID" w:eastAsia="id-ID"/>
        </w:rPr>
        <w:t>sebagai</w:t>
      </w:r>
      <w:r w:rsidRPr="00DD70E5">
        <w:rPr>
          <w:lang w:val="en-US" w:eastAsia="id-ID"/>
        </w:rPr>
        <w:t xml:space="preserve"> </w:t>
      </w:r>
      <w:proofErr w:type="spellStart"/>
      <w:proofErr w:type="gramStart"/>
      <w:r w:rsidRPr="00DD70E5">
        <w:rPr>
          <w:lang w:val="en-US" w:eastAsia="id-ID"/>
        </w:rPr>
        <w:t>berikut</w:t>
      </w:r>
      <w:proofErr w:type="spellEnd"/>
      <w:r w:rsidRPr="00DD70E5">
        <w:rPr>
          <w:lang w:val="en-US" w:eastAsia="id-ID"/>
        </w:rPr>
        <w:t xml:space="preserve"> :</w:t>
      </w:r>
      <w:proofErr w:type="gramEnd"/>
    </w:p>
    <w:p w:rsidR="00DE4C07" w:rsidRDefault="00A1309C" w:rsidP="00B52854">
      <w:pPr>
        <w:spacing w:line="480" w:lineRule="auto"/>
        <w:ind w:left="360" w:firstLine="810"/>
        <w:jc w:val="both"/>
        <w:rPr>
          <w:lang w:val="id-ID" w:eastAsia="id-ID"/>
        </w:rPr>
      </w:pPr>
      <w:r w:rsidRPr="00DD70E5">
        <w:rPr>
          <w:b/>
          <w:lang w:val="id-ID" w:eastAsia="id-ID"/>
        </w:rPr>
        <w:t>Bab I</w:t>
      </w:r>
      <w:r w:rsidRPr="00DD70E5">
        <w:rPr>
          <w:lang w:val="id-ID" w:eastAsia="id-ID"/>
        </w:rPr>
        <w:t xml:space="preserve"> merupakan bab Pendahuluan yang terdiri </w:t>
      </w:r>
      <w:r w:rsidR="00AA4B4F" w:rsidRPr="00DD70E5">
        <w:rPr>
          <w:lang w:val="id-ID" w:eastAsia="id-ID"/>
        </w:rPr>
        <w:t xml:space="preserve">dari latar belakang diadakannya </w:t>
      </w:r>
      <w:proofErr w:type="spellStart"/>
      <w:r w:rsidRPr="00B52854">
        <w:rPr>
          <w:lang w:val="en-US"/>
        </w:rPr>
        <w:t>penelitian</w:t>
      </w:r>
      <w:proofErr w:type="spellEnd"/>
      <w:r w:rsidRPr="00DD70E5">
        <w:rPr>
          <w:lang w:val="id-ID" w:eastAsia="id-ID"/>
        </w:rPr>
        <w:t xml:space="preserve"> ini,</w:t>
      </w:r>
      <w:r w:rsidR="00AA4B4F" w:rsidRPr="00DD70E5">
        <w:rPr>
          <w:lang w:val="en-US" w:eastAsia="id-ID"/>
        </w:rPr>
        <w:t xml:space="preserve"> </w:t>
      </w:r>
      <w:proofErr w:type="spellStart"/>
      <w:r w:rsidR="00AA4B4F" w:rsidRPr="00DD70E5">
        <w:rPr>
          <w:lang w:val="en-US" w:eastAsia="id-ID"/>
        </w:rPr>
        <w:t>batasan</w:t>
      </w:r>
      <w:proofErr w:type="spellEnd"/>
      <w:r w:rsidR="00AA4B4F" w:rsidRPr="00DD70E5">
        <w:rPr>
          <w:lang w:val="en-US" w:eastAsia="id-ID"/>
        </w:rPr>
        <w:t xml:space="preserve"> </w:t>
      </w:r>
      <w:proofErr w:type="spellStart"/>
      <w:r w:rsidR="00AA4B4F" w:rsidRPr="00DD70E5">
        <w:rPr>
          <w:lang w:val="en-US" w:eastAsia="id-ID"/>
        </w:rPr>
        <w:t>masalah</w:t>
      </w:r>
      <w:proofErr w:type="spellEnd"/>
      <w:r w:rsidR="00AA4B4F" w:rsidRPr="00DD70E5">
        <w:rPr>
          <w:lang w:val="en-US" w:eastAsia="id-ID"/>
        </w:rPr>
        <w:t xml:space="preserve"> </w:t>
      </w:r>
      <w:proofErr w:type="spellStart"/>
      <w:r w:rsidR="00AA4B4F" w:rsidRPr="00DD70E5">
        <w:rPr>
          <w:lang w:val="en-US" w:eastAsia="id-ID"/>
        </w:rPr>
        <w:t>dari</w:t>
      </w:r>
      <w:proofErr w:type="spellEnd"/>
      <w:r w:rsidR="00AA4B4F" w:rsidRPr="00DD70E5">
        <w:rPr>
          <w:lang w:val="en-US" w:eastAsia="id-ID"/>
        </w:rPr>
        <w:t xml:space="preserve"> </w:t>
      </w:r>
      <w:proofErr w:type="spellStart"/>
      <w:r w:rsidR="00AA4B4F" w:rsidRPr="00DD70E5">
        <w:rPr>
          <w:lang w:val="en-US" w:eastAsia="id-ID"/>
        </w:rPr>
        <w:t>penelitian</w:t>
      </w:r>
      <w:proofErr w:type="spellEnd"/>
      <w:r w:rsidR="00AA4B4F" w:rsidRPr="00DD70E5">
        <w:rPr>
          <w:lang w:val="en-US" w:eastAsia="id-ID"/>
        </w:rPr>
        <w:t xml:space="preserve"> </w:t>
      </w:r>
      <w:proofErr w:type="spellStart"/>
      <w:r w:rsidR="00AA4B4F" w:rsidRPr="00DD70E5">
        <w:rPr>
          <w:lang w:val="en-US" w:eastAsia="id-ID"/>
        </w:rPr>
        <w:t>ini</w:t>
      </w:r>
      <w:proofErr w:type="spellEnd"/>
      <w:r w:rsidR="00AA4B4F" w:rsidRPr="00DD70E5">
        <w:rPr>
          <w:lang w:val="en-US" w:eastAsia="id-ID"/>
        </w:rPr>
        <w:t>,</w:t>
      </w:r>
      <w:r w:rsidRPr="00DD70E5">
        <w:rPr>
          <w:lang w:val="id-ID" w:eastAsia="id-ID"/>
        </w:rPr>
        <w:t xml:space="preserve"> rumusan masalah yang akan dikaji</w:t>
      </w:r>
      <w:r w:rsidR="00AA4B4F" w:rsidRPr="00DD70E5">
        <w:rPr>
          <w:lang w:val="id-ID" w:eastAsia="id-ID"/>
        </w:rPr>
        <w:t xml:space="preserve">, tujuan dari penelitian serta </w:t>
      </w:r>
      <w:r w:rsidR="00AA4B4F" w:rsidRPr="00DD70E5">
        <w:rPr>
          <w:lang w:val="en-US" w:eastAsia="id-ID"/>
        </w:rPr>
        <w:t xml:space="preserve"> </w:t>
      </w:r>
      <w:r w:rsidRPr="00DD70E5">
        <w:rPr>
          <w:lang w:val="id-ID" w:eastAsia="id-ID"/>
        </w:rPr>
        <w:t>manfaat dari penelitian secara teoritis maupun praktis. Pada bagian akhir bab ini akan dijabarkan sistematika penulisan.</w:t>
      </w:r>
    </w:p>
    <w:p w:rsidR="00DE4C07" w:rsidRDefault="00A1309C" w:rsidP="00B52854">
      <w:pPr>
        <w:spacing w:line="480" w:lineRule="auto"/>
        <w:ind w:left="360" w:firstLine="810"/>
        <w:jc w:val="both"/>
        <w:rPr>
          <w:lang w:val="id-ID" w:eastAsia="id-ID"/>
        </w:rPr>
      </w:pPr>
      <w:r w:rsidRPr="00DD70E5">
        <w:rPr>
          <w:b/>
          <w:lang w:val="id-ID" w:eastAsia="id-ID"/>
        </w:rPr>
        <w:t>Bab II</w:t>
      </w:r>
      <w:r w:rsidRPr="00DD70E5">
        <w:rPr>
          <w:lang w:val="id-ID" w:eastAsia="id-ID"/>
        </w:rPr>
        <w:t xml:space="preserve"> merupakan Bab Telaah Pustaka yang berisi antara</w:t>
      </w:r>
      <w:r w:rsidR="00AA4B4F" w:rsidRPr="00DD70E5">
        <w:rPr>
          <w:lang w:val="id-ID" w:eastAsia="id-ID"/>
        </w:rPr>
        <w:t xml:space="preserve"> lain </w:t>
      </w:r>
      <w:r w:rsidRPr="00DD70E5">
        <w:rPr>
          <w:lang w:val="id-ID" w:eastAsia="id-ID"/>
        </w:rPr>
        <w:t>teori</w:t>
      </w:r>
      <w:r w:rsidR="00B52854">
        <w:rPr>
          <w:lang w:val="id-ID" w:eastAsia="id-ID"/>
        </w:rPr>
        <w:t xml:space="preserve"> </w:t>
      </w:r>
      <w:r w:rsidRPr="00DD70E5">
        <w:rPr>
          <w:lang w:val="id-ID" w:eastAsia="id-ID"/>
        </w:rPr>
        <w:t>yang digunakan dalam penelitian ini, penelitian-pene</w:t>
      </w:r>
      <w:r w:rsidR="00AA4B4F" w:rsidRPr="00DD70E5">
        <w:rPr>
          <w:lang w:val="id-ID" w:eastAsia="id-ID"/>
        </w:rPr>
        <w:t xml:space="preserve">litian terdahulu yang </w:t>
      </w:r>
      <w:r w:rsidR="00AA4B4F" w:rsidRPr="00DD70E5">
        <w:rPr>
          <w:lang w:val="id-ID" w:eastAsia="id-ID"/>
        </w:rPr>
        <w:lastRenderedPageBreak/>
        <w:t xml:space="preserve">memiliki </w:t>
      </w:r>
      <w:r w:rsidRPr="00DD70E5">
        <w:rPr>
          <w:lang w:val="id-ID" w:eastAsia="id-ID"/>
        </w:rPr>
        <w:t>korelasi</w:t>
      </w:r>
      <w:r w:rsidR="00B52854">
        <w:rPr>
          <w:lang w:val="id-ID" w:eastAsia="id-ID"/>
        </w:rPr>
        <w:t xml:space="preserve"> </w:t>
      </w:r>
      <w:r w:rsidRPr="00DD70E5">
        <w:rPr>
          <w:lang w:val="id-ID" w:eastAsia="id-ID"/>
        </w:rPr>
        <w:t>dengan</w:t>
      </w:r>
      <w:r w:rsidR="00B52854">
        <w:rPr>
          <w:lang w:val="id-ID" w:eastAsia="id-ID"/>
        </w:rPr>
        <w:t xml:space="preserve"> </w:t>
      </w:r>
      <w:r w:rsidRPr="00DD70E5">
        <w:rPr>
          <w:lang w:val="id-ID" w:eastAsia="id-ID"/>
        </w:rPr>
        <w:t>penelitian ini, kerangka pemikiran dan pengembangan hipotesis.</w:t>
      </w:r>
    </w:p>
    <w:p w:rsidR="00DE4C07" w:rsidRDefault="00A1309C" w:rsidP="00B52854">
      <w:pPr>
        <w:spacing w:line="480" w:lineRule="auto"/>
        <w:ind w:left="360" w:firstLine="810"/>
        <w:jc w:val="both"/>
        <w:rPr>
          <w:lang w:val="id-ID" w:eastAsia="id-ID"/>
        </w:rPr>
      </w:pPr>
      <w:r w:rsidRPr="00DD70E5">
        <w:rPr>
          <w:b/>
          <w:lang w:val="id-ID" w:eastAsia="id-ID"/>
        </w:rPr>
        <w:t>Bab III</w:t>
      </w:r>
      <w:r w:rsidRPr="00DD70E5">
        <w:rPr>
          <w:lang w:val="id-ID" w:eastAsia="id-ID"/>
        </w:rPr>
        <w:t xml:space="preserve"> </w:t>
      </w:r>
      <w:r w:rsidRPr="00B52854">
        <w:rPr>
          <w:lang w:val="en-US"/>
        </w:rPr>
        <w:t>merupakan</w:t>
      </w:r>
      <w:r w:rsidRPr="00DD70E5">
        <w:rPr>
          <w:lang w:val="id-ID" w:eastAsia="id-ID"/>
        </w:rPr>
        <w:t xml:space="preserve"> Bab Metodologi Penelitian, </w:t>
      </w:r>
      <w:r w:rsidR="00AA4B4F" w:rsidRPr="00DD70E5">
        <w:rPr>
          <w:lang w:val="en-US" w:eastAsia="id-ID"/>
        </w:rPr>
        <w:t xml:space="preserve">yang </w:t>
      </w:r>
      <w:proofErr w:type="spellStart"/>
      <w:r w:rsidR="00AA4B4F" w:rsidRPr="00DD70E5">
        <w:rPr>
          <w:lang w:val="en-US" w:eastAsia="id-ID"/>
        </w:rPr>
        <w:t>menguraikan</w:t>
      </w:r>
      <w:proofErr w:type="spellEnd"/>
      <w:r w:rsidR="00AA4B4F" w:rsidRPr="00DD70E5">
        <w:rPr>
          <w:lang w:val="en-US" w:eastAsia="id-ID"/>
        </w:rPr>
        <w:t xml:space="preserve"> </w:t>
      </w:r>
      <w:proofErr w:type="spellStart"/>
      <w:r w:rsidR="00AA4B4F" w:rsidRPr="00DD70E5">
        <w:rPr>
          <w:lang w:val="en-US" w:eastAsia="id-ID"/>
        </w:rPr>
        <w:t>tentang</w:t>
      </w:r>
      <w:proofErr w:type="spellEnd"/>
      <w:r w:rsidR="00AA4B4F" w:rsidRPr="00DD70E5">
        <w:rPr>
          <w:lang w:val="en-US" w:eastAsia="id-ID"/>
        </w:rPr>
        <w:t xml:space="preserve"> </w:t>
      </w:r>
      <w:proofErr w:type="spellStart"/>
      <w:r w:rsidR="00AA4B4F" w:rsidRPr="00DD70E5">
        <w:rPr>
          <w:lang w:val="en-US" w:eastAsia="id-ID"/>
        </w:rPr>
        <w:t>objek</w:t>
      </w:r>
      <w:proofErr w:type="spellEnd"/>
      <w:r w:rsidR="00AA4B4F" w:rsidRPr="00DD70E5">
        <w:rPr>
          <w:lang w:val="en-US" w:eastAsia="id-ID"/>
        </w:rPr>
        <w:t xml:space="preserve"> </w:t>
      </w:r>
      <w:proofErr w:type="spellStart"/>
      <w:r w:rsidR="00AA4B4F" w:rsidRPr="00DD70E5">
        <w:rPr>
          <w:lang w:val="en-US" w:eastAsia="id-ID"/>
        </w:rPr>
        <w:t>penelitian</w:t>
      </w:r>
      <w:proofErr w:type="spellEnd"/>
      <w:r w:rsidR="00AA4B4F" w:rsidRPr="00DD70E5">
        <w:rPr>
          <w:lang w:val="en-US" w:eastAsia="id-ID"/>
        </w:rPr>
        <w:t xml:space="preserve">, </w:t>
      </w:r>
      <w:proofErr w:type="spellStart"/>
      <w:r w:rsidR="00AA4B4F" w:rsidRPr="00DD70E5">
        <w:rPr>
          <w:lang w:val="en-US" w:eastAsia="id-ID"/>
        </w:rPr>
        <w:t>populasi</w:t>
      </w:r>
      <w:proofErr w:type="spellEnd"/>
      <w:r w:rsidR="00AA4B4F" w:rsidRPr="00DD70E5">
        <w:rPr>
          <w:lang w:val="en-US" w:eastAsia="id-ID"/>
        </w:rPr>
        <w:t xml:space="preserve"> </w:t>
      </w:r>
      <w:proofErr w:type="spellStart"/>
      <w:r w:rsidR="00AA4B4F" w:rsidRPr="00DD70E5">
        <w:rPr>
          <w:lang w:val="en-US" w:eastAsia="id-ID"/>
        </w:rPr>
        <w:t>dan</w:t>
      </w:r>
      <w:proofErr w:type="spellEnd"/>
      <w:r w:rsidR="00AA4B4F" w:rsidRPr="00DD70E5">
        <w:rPr>
          <w:lang w:val="en-US" w:eastAsia="id-ID"/>
        </w:rPr>
        <w:t xml:space="preserve"> </w:t>
      </w:r>
      <w:proofErr w:type="spellStart"/>
      <w:r w:rsidR="00AA4B4F" w:rsidRPr="00DD70E5">
        <w:rPr>
          <w:lang w:val="en-US" w:eastAsia="id-ID"/>
        </w:rPr>
        <w:t>sampel</w:t>
      </w:r>
      <w:proofErr w:type="spellEnd"/>
      <w:r w:rsidR="00AA4B4F" w:rsidRPr="00DD70E5">
        <w:rPr>
          <w:lang w:val="en-US" w:eastAsia="id-ID"/>
        </w:rPr>
        <w:t xml:space="preserve">, </w:t>
      </w:r>
      <w:proofErr w:type="spellStart"/>
      <w:r w:rsidR="00AA4B4F" w:rsidRPr="00DD70E5">
        <w:rPr>
          <w:lang w:val="en-US" w:eastAsia="id-ID"/>
        </w:rPr>
        <w:t>variabel</w:t>
      </w:r>
      <w:proofErr w:type="spellEnd"/>
      <w:r w:rsidR="00AA4B4F" w:rsidRPr="00DD70E5">
        <w:rPr>
          <w:lang w:val="en-US" w:eastAsia="id-ID"/>
        </w:rPr>
        <w:t xml:space="preserve"> </w:t>
      </w:r>
      <w:proofErr w:type="spellStart"/>
      <w:r w:rsidR="00AA4B4F" w:rsidRPr="00DD70E5">
        <w:rPr>
          <w:lang w:val="en-US" w:eastAsia="id-ID"/>
        </w:rPr>
        <w:t>dan</w:t>
      </w:r>
      <w:proofErr w:type="spellEnd"/>
      <w:r w:rsidR="00AA4B4F" w:rsidRPr="00DD70E5">
        <w:rPr>
          <w:lang w:val="en-US" w:eastAsia="id-ID"/>
        </w:rPr>
        <w:t xml:space="preserve"> </w:t>
      </w:r>
      <w:proofErr w:type="spellStart"/>
      <w:r w:rsidR="00AA4B4F" w:rsidRPr="00DD70E5">
        <w:rPr>
          <w:lang w:val="en-US" w:eastAsia="id-ID"/>
        </w:rPr>
        <w:t>pengukuran</w:t>
      </w:r>
      <w:proofErr w:type="spellEnd"/>
      <w:r w:rsidR="00AA4B4F" w:rsidRPr="00DD70E5">
        <w:rPr>
          <w:lang w:val="en-US" w:eastAsia="id-ID"/>
        </w:rPr>
        <w:t xml:space="preserve"> </w:t>
      </w:r>
      <w:proofErr w:type="spellStart"/>
      <w:r w:rsidR="00AA4B4F" w:rsidRPr="00DD70E5">
        <w:rPr>
          <w:lang w:val="en-US" w:eastAsia="id-ID"/>
        </w:rPr>
        <w:t>variabel</w:t>
      </w:r>
      <w:proofErr w:type="spellEnd"/>
      <w:r w:rsidR="00AA4B4F" w:rsidRPr="00DD70E5">
        <w:rPr>
          <w:lang w:val="en-US" w:eastAsia="id-ID"/>
        </w:rPr>
        <w:t xml:space="preserve">, data </w:t>
      </w:r>
      <w:proofErr w:type="spellStart"/>
      <w:r w:rsidR="00AA4B4F" w:rsidRPr="00DD70E5">
        <w:rPr>
          <w:lang w:val="en-US" w:eastAsia="id-ID"/>
        </w:rPr>
        <w:t>dan</w:t>
      </w:r>
      <w:proofErr w:type="spellEnd"/>
      <w:r w:rsidR="00AA4B4F" w:rsidRPr="00DD70E5">
        <w:rPr>
          <w:lang w:val="en-US" w:eastAsia="id-ID"/>
        </w:rPr>
        <w:t xml:space="preserve"> </w:t>
      </w:r>
      <w:proofErr w:type="spellStart"/>
      <w:r w:rsidR="00AA4B4F" w:rsidRPr="00DD70E5">
        <w:rPr>
          <w:lang w:val="en-US" w:eastAsia="id-ID"/>
        </w:rPr>
        <w:t>membahas</w:t>
      </w:r>
      <w:proofErr w:type="spellEnd"/>
      <w:r w:rsidR="00AA4B4F" w:rsidRPr="00DD70E5">
        <w:rPr>
          <w:lang w:val="en-US" w:eastAsia="id-ID"/>
        </w:rPr>
        <w:t xml:space="preserve"> </w:t>
      </w:r>
      <w:proofErr w:type="spellStart"/>
      <w:r w:rsidR="00AA4B4F" w:rsidRPr="00DD70E5">
        <w:rPr>
          <w:lang w:val="en-US" w:eastAsia="id-ID"/>
        </w:rPr>
        <w:t>medel</w:t>
      </w:r>
      <w:proofErr w:type="spellEnd"/>
      <w:r w:rsidR="00AA4B4F" w:rsidRPr="00DD70E5">
        <w:rPr>
          <w:lang w:val="en-US" w:eastAsia="id-ID"/>
        </w:rPr>
        <w:t xml:space="preserve"> </w:t>
      </w:r>
      <w:proofErr w:type="spellStart"/>
      <w:r w:rsidR="00AA4B4F" w:rsidRPr="00DD70E5">
        <w:rPr>
          <w:lang w:val="en-US" w:eastAsia="id-ID"/>
        </w:rPr>
        <w:t>analisa</w:t>
      </w:r>
      <w:proofErr w:type="spellEnd"/>
      <w:r w:rsidR="00AA4B4F" w:rsidRPr="00DD70E5">
        <w:rPr>
          <w:lang w:val="en-US" w:eastAsia="id-ID"/>
        </w:rPr>
        <w:t xml:space="preserve"> </w:t>
      </w:r>
      <w:proofErr w:type="spellStart"/>
      <w:r w:rsidR="00AA4B4F" w:rsidRPr="00DD70E5">
        <w:rPr>
          <w:lang w:val="en-US" w:eastAsia="id-ID"/>
        </w:rPr>
        <w:t>serta</w:t>
      </w:r>
      <w:proofErr w:type="spellEnd"/>
      <w:r w:rsidR="00AA4B4F" w:rsidRPr="00DD70E5">
        <w:rPr>
          <w:lang w:val="en-US" w:eastAsia="id-ID"/>
        </w:rPr>
        <w:t xml:space="preserve"> </w:t>
      </w:r>
      <w:proofErr w:type="spellStart"/>
      <w:r w:rsidR="00AA4B4F" w:rsidRPr="00DD70E5">
        <w:rPr>
          <w:lang w:val="en-US" w:eastAsia="id-ID"/>
        </w:rPr>
        <w:t>menguji</w:t>
      </w:r>
      <w:proofErr w:type="spellEnd"/>
      <w:r w:rsidR="00AA4B4F" w:rsidRPr="00DD70E5">
        <w:rPr>
          <w:lang w:val="en-US" w:eastAsia="id-ID"/>
        </w:rPr>
        <w:t xml:space="preserve"> </w:t>
      </w:r>
      <w:proofErr w:type="spellStart"/>
      <w:r w:rsidR="00AA4B4F" w:rsidRPr="00DD70E5">
        <w:rPr>
          <w:lang w:val="en-US" w:eastAsia="id-ID"/>
        </w:rPr>
        <w:t>sistematika</w:t>
      </w:r>
      <w:proofErr w:type="spellEnd"/>
      <w:r w:rsidR="00AA4B4F" w:rsidRPr="00DD70E5">
        <w:rPr>
          <w:lang w:val="en-US" w:eastAsia="id-ID"/>
        </w:rPr>
        <w:t xml:space="preserve"> </w:t>
      </w:r>
      <w:proofErr w:type="spellStart"/>
      <w:r w:rsidR="00AA4B4F" w:rsidRPr="00DD70E5">
        <w:rPr>
          <w:lang w:val="en-US" w:eastAsia="id-ID"/>
        </w:rPr>
        <w:t>beserta</w:t>
      </w:r>
      <w:proofErr w:type="spellEnd"/>
      <w:r w:rsidR="00AA4B4F" w:rsidRPr="00DD70E5">
        <w:rPr>
          <w:lang w:val="en-US" w:eastAsia="id-ID"/>
        </w:rPr>
        <w:t xml:space="preserve"> </w:t>
      </w:r>
      <w:proofErr w:type="spellStart"/>
      <w:r w:rsidR="00AA4B4F" w:rsidRPr="00DD70E5">
        <w:rPr>
          <w:lang w:val="en-US" w:eastAsia="id-ID"/>
        </w:rPr>
        <w:t>hipotesisnya</w:t>
      </w:r>
      <w:proofErr w:type="spellEnd"/>
      <w:r w:rsidR="00AA4B4F" w:rsidRPr="00DD70E5">
        <w:rPr>
          <w:lang w:val="en-US" w:eastAsia="id-ID"/>
        </w:rPr>
        <w:t>.</w:t>
      </w:r>
    </w:p>
    <w:p w:rsidR="00DE4C07" w:rsidRDefault="00A1309C" w:rsidP="00B52854">
      <w:pPr>
        <w:spacing w:line="480" w:lineRule="auto"/>
        <w:ind w:left="360" w:firstLine="810"/>
        <w:jc w:val="both"/>
        <w:rPr>
          <w:lang w:val="id-ID" w:eastAsia="id-ID"/>
        </w:rPr>
      </w:pPr>
      <w:r w:rsidRPr="00DD70E5">
        <w:rPr>
          <w:b/>
          <w:lang w:val="id-ID" w:eastAsia="id-ID"/>
        </w:rPr>
        <w:t>Bab IV</w:t>
      </w:r>
      <w:r w:rsidR="00B52854">
        <w:rPr>
          <w:b/>
          <w:lang w:val="id-ID" w:eastAsia="id-ID"/>
        </w:rPr>
        <w:t xml:space="preserve"> </w:t>
      </w:r>
      <w:proofErr w:type="spellStart"/>
      <w:r w:rsidRPr="00B52854">
        <w:rPr>
          <w:lang w:val="en-US"/>
        </w:rPr>
        <w:t>merupakan</w:t>
      </w:r>
      <w:proofErr w:type="spellEnd"/>
      <w:r w:rsidRPr="00DD70E5">
        <w:rPr>
          <w:lang w:val="id-ID" w:eastAsia="id-ID"/>
        </w:rPr>
        <w:t xml:space="preserve"> Bab Hasil dan Analisis, </w:t>
      </w:r>
      <w:r w:rsidR="00AA4B4F" w:rsidRPr="00DD70E5">
        <w:rPr>
          <w:lang w:val="en-US" w:eastAsia="id-ID"/>
        </w:rPr>
        <w:t xml:space="preserve">yang </w:t>
      </w:r>
      <w:proofErr w:type="spellStart"/>
      <w:r w:rsidR="00AA4B4F" w:rsidRPr="00DD70E5">
        <w:rPr>
          <w:lang w:val="en-US" w:eastAsia="id-ID"/>
        </w:rPr>
        <w:t>berisi</w:t>
      </w:r>
      <w:proofErr w:type="spellEnd"/>
      <w:r w:rsidR="00AA4B4F" w:rsidRPr="00DD70E5">
        <w:rPr>
          <w:lang w:val="en-US" w:eastAsia="id-ID"/>
        </w:rPr>
        <w:t xml:space="preserve"> </w:t>
      </w:r>
      <w:proofErr w:type="spellStart"/>
      <w:r w:rsidR="00AA4B4F" w:rsidRPr="00DD70E5">
        <w:rPr>
          <w:lang w:val="en-US" w:eastAsia="id-ID"/>
        </w:rPr>
        <w:t>tentang</w:t>
      </w:r>
      <w:proofErr w:type="spellEnd"/>
      <w:r w:rsidR="00AA4B4F" w:rsidRPr="00DD70E5">
        <w:rPr>
          <w:lang w:val="en-US" w:eastAsia="id-ID"/>
        </w:rPr>
        <w:t xml:space="preserve"> </w:t>
      </w:r>
      <w:proofErr w:type="spellStart"/>
      <w:r w:rsidR="00AA4B4F" w:rsidRPr="00DD70E5">
        <w:rPr>
          <w:lang w:val="en-US" w:eastAsia="id-ID"/>
        </w:rPr>
        <w:t>analisa</w:t>
      </w:r>
      <w:proofErr w:type="spellEnd"/>
      <w:r w:rsidR="00AA4B4F" w:rsidRPr="00DD70E5">
        <w:rPr>
          <w:lang w:val="en-US" w:eastAsia="id-ID"/>
        </w:rPr>
        <w:t xml:space="preserve"> data </w:t>
      </w:r>
      <w:proofErr w:type="spellStart"/>
      <w:r w:rsidR="00AA4B4F" w:rsidRPr="00DD70E5">
        <w:rPr>
          <w:lang w:val="en-US" w:eastAsia="id-ID"/>
        </w:rPr>
        <w:t>dan</w:t>
      </w:r>
      <w:proofErr w:type="spellEnd"/>
      <w:r w:rsidR="00AA4B4F" w:rsidRPr="00DD70E5">
        <w:rPr>
          <w:lang w:val="en-US" w:eastAsia="id-ID"/>
        </w:rPr>
        <w:t xml:space="preserve"> </w:t>
      </w:r>
      <w:proofErr w:type="spellStart"/>
      <w:r w:rsidR="00AA4B4F" w:rsidRPr="00DD70E5">
        <w:rPr>
          <w:lang w:val="en-US" w:eastAsia="id-ID"/>
        </w:rPr>
        <w:t>menguji</w:t>
      </w:r>
      <w:proofErr w:type="spellEnd"/>
      <w:r w:rsidR="00AA4B4F" w:rsidRPr="00DD70E5">
        <w:rPr>
          <w:lang w:val="en-US" w:eastAsia="id-ID"/>
        </w:rPr>
        <w:t xml:space="preserve"> </w:t>
      </w:r>
      <w:proofErr w:type="spellStart"/>
      <w:r w:rsidR="00AA4B4F" w:rsidRPr="00DD70E5">
        <w:rPr>
          <w:lang w:val="en-US" w:eastAsia="id-ID"/>
        </w:rPr>
        <w:t>hipotesa</w:t>
      </w:r>
      <w:proofErr w:type="spellEnd"/>
      <w:r w:rsidR="00AA4B4F" w:rsidRPr="00DD70E5">
        <w:rPr>
          <w:lang w:val="en-US" w:eastAsia="id-ID"/>
        </w:rPr>
        <w:t xml:space="preserve"> </w:t>
      </w:r>
      <w:proofErr w:type="spellStart"/>
      <w:r w:rsidR="00AA4B4F" w:rsidRPr="00DD70E5">
        <w:rPr>
          <w:lang w:val="en-US" w:eastAsia="id-ID"/>
        </w:rPr>
        <w:t>dan</w:t>
      </w:r>
      <w:proofErr w:type="spellEnd"/>
      <w:r w:rsidR="00AA4B4F" w:rsidRPr="00DD70E5">
        <w:rPr>
          <w:lang w:val="en-US" w:eastAsia="id-ID"/>
        </w:rPr>
        <w:t xml:space="preserve"> </w:t>
      </w:r>
      <w:proofErr w:type="spellStart"/>
      <w:r w:rsidR="00AA4B4F" w:rsidRPr="00DD70E5">
        <w:rPr>
          <w:lang w:val="en-US" w:eastAsia="id-ID"/>
        </w:rPr>
        <w:t>pembahasan</w:t>
      </w:r>
      <w:proofErr w:type="spellEnd"/>
      <w:r w:rsidR="00AA4B4F" w:rsidRPr="00DD70E5">
        <w:rPr>
          <w:lang w:val="en-US" w:eastAsia="id-ID"/>
        </w:rPr>
        <w:t xml:space="preserve"> </w:t>
      </w:r>
      <w:proofErr w:type="spellStart"/>
      <w:r w:rsidR="00AA4B4F" w:rsidRPr="00DD70E5">
        <w:rPr>
          <w:lang w:val="en-US" w:eastAsia="id-ID"/>
        </w:rPr>
        <w:t>hasil</w:t>
      </w:r>
      <w:proofErr w:type="spellEnd"/>
      <w:r w:rsidR="00AA4B4F" w:rsidRPr="00DD70E5">
        <w:rPr>
          <w:lang w:val="en-US" w:eastAsia="id-ID"/>
        </w:rPr>
        <w:t xml:space="preserve"> </w:t>
      </w:r>
      <w:proofErr w:type="spellStart"/>
      <w:r w:rsidR="00AA4B4F" w:rsidRPr="00DD70E5">
        <w:rPr>
          <w:lang w:val="en-US" w:eastAsia="id-ID"/>
        </w:rPr>
        <w:t>penelitian</w:t>
      </w:r>
      <w:proofErr w:type="spellEnd"/>
      <w:r w:rsidR="00AA4B4F" w:rsidRPr="00DD70E5">
        <w:rPr>
          <w:lang w:val="en-US" w:eastAsia="id-ID"/>
        </w:rPr>
        <w:t>.</w:t>
      </w:r>
    </w:p>
    <w:p w:rsidR="00A1309C" w:rsidRPr="00DD70E5" w:rsidRDefault="00A1309C" w:rsidP="00B52854">
      <w:pPr>
        <w:spacing w:line="480" w:lineRule="auto"/>
        <w:ind w:left="360" w:firstLine="810"/>
        <w:jc w:val="both"/>
        <w:rPr>
          <w:lang w:val="en-US" w:eastAsia="id-ID"/>
        </w:rPr>
      </w:pPr>
      <w:r w:rsidRPr="00DD70E5">
        <w:rPr>
          <w:b/>
          <w:lang w:val="id-ID" w:eastAsia="id-ID"/>
        </w:rPr>
        <w:t>Bab V</w:t>
      </w:r>
      <w:r w:rsidR="00B52854">
        <w:rPr>
          <w:b/>
          <w:lang w:val="id-ID" w:eastAsia="id-ID"/>
        </w:rPr>
        <w:t xml:space="preserve"> </w:t>
      </w:r>
      <w:proofErr w:type="spellStart"/>
      <w:r w:rsidRPr="00B52854">
        <w:rPr>
          <w:lang w:val="en-US"/>
        </w:rPr>
        <w:t>merupakan</w:t>
      </w:r>
      <w:proofErr w:type="spellEnd"/>
      <w:r w:rsidRPr="00DD70E5">
        <w:rPr>
          <w:lang w:val="id-ID" w:eastAsia="id-ID"/>
        </w:rPr>
        <w:t xml:space="preserve"> Bab penutup yang berisi kesimpulan penelitian, keterbatasan penelitian, dan saran untuk penelitian yang akan datang</w:t>
      </w:r>
      <w:r w:rsidR="00AA4B4F" w:rsidRPr="00DD70E5">
        <w:rPr>
          <w:lang w:val="en-US" w:eastAsia="id-ID"/>
        </w:rPr>
        <w:t>.</w:t>
      </w:r>
    </w:p>
    <w:p w:rsidR="00C40DFD" w:rsidRPr="00DD70E5" w:rsidRDefault="00C40DFD" w:rsidP="00DE4C07">
      <w:pPr>
        <w:pStyle w:val="ListParagraph"/>
        <w:spacing w:line="480" w:lineRule="auto"/>
        <w:ind w:left="709"/>
        <w:jc w:val="both"/>
        <w:rPr>
          <w:lang w:val="id-ID" w:eastAsia="id-ID"/>
        </w:rPr>
      </w:pPr>
    </w:p>
    <w:p w:rsidR="00C40DFD" w:rsidRPr="00DD70E5" w:rsidRDefault="00C40DFD" w:rsidP="00DE4C07">
      <w:pPr>
        <w:spacing w:line="480" w:lineRule="auto"/>
        <w:ind w:left="360" w:firstLine="720"/>
        <w:jc w:val="both"/>
        <w:rPr>
          <w:lang w:val="en-US"/>
        </w:rPr>
      </w:pPr>
    </w:p>
    <w:p w:rsidR="005C5240" w:rsidRPr="00DD70E5" w:rsidRDefault="005C5240" w:rsidP="00DE4C07">
      <w:pPr>
        <w:spacing w:line="480" w:lineRule="auto"/>
        <w:ind w:left="432" w:firstLine="648"/>
        <w:jc w:val="both"/>
        <w:rPr>
          <w:lang w:val="en-US"/>
        </w:rPr>
      </w:pPr>
    </w:p>
    <w:sectPr w:rsidR="005C5240" w:rsidRPr="00DD70E5" w:rsidSect="00DE4C07">
      <w:headerReference w:type="default" r:id="rId13"/>
      <w:footerReference w:type="first" r:id="rId14"/>
      <w:pgSz w:w="11907" w:h="16840"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BD5" w:rsidRDefault="00515BD5" w:rsidP="00396B80">
      <w:r>
        <w:separator/>
      </w:r>
    </w:p>
  </w:endnote>
  <w:endnote w:type="continuationSeparator" w:id="0">
    <w:p w:rsidR="00515BD5" w:rsidRDefault="00515BD5" w:rsidP="00396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7431857"/>
      <w:docPartObj>
        <w:docPartGallery w:val="Page Numbers (Bottom of Page)"/>
        <w:docPartUnique/>
      </w:docPartObj>
    </w:sdtPr>
    <w:sdtEndPr>
      <w:rPr>
        <w:noProof/>
      </w:rPr>
    </w:sdtEndPr>
    <w:sdtContent>
      <w:p w:rsidR="00DE4C07" w:rsidRDefault="00DE4C07">
        <w:pPr>
          <w:pStyle w:val="Footer"/>
          <w:jc w:val="center"/>
        </w:pPr>
        <w:r>
          <w:fldChar w:fldCharType="begin"/>
        </w:r>
        <w:r>
          <w:instrText xml:space="preserve"> PAGE   \* MERGEFORMAT </w:instrText>
        </w:r>
        <w:r>
          <w:fldChar w:fldCharType="separate"/>
        </w:r>
        <w:r w:rsidR="00BA01F5">
          <w:rPr>
            <w:noProof/>
          </w:rPr>
          <w:t>1</w:t>
        </w:r>
        <w:r>
          <w:rPr>
            <w:noProof/>
          </w:rPr>
          <w:fldChar w:fldCharType="end"/>
        </w:r>
      </w:p>
    </w:sdtContent>
  </w:sdt>
  <w:p w:rsidR="00DE4C07" w:rsidRDefault="00DE4C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BD5" w:rsidRDefault="00515BD5" w:rsidP="00396B80">
      <w:r>
        <w:separator/>
      </w:r>
    </w:p>
  </w:footnote>
  <w:footnote w:type="continuationSeparator" w:id="0">
    <w:p w:rsidR="00515BD5" w:rsidRDefault="00515BD5" w:rsidP="00396B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5347494"/>
      <w:docPartObj>
        <w:docPartGallery w:val="Page Numbers (Top of Page)"/>
        <w:docPartUnique/>
      </w:docPartObj>
    </w:sdtPr>
    <w:sdtEndPr>
      <w:rPr>
        <w:noProof/>
      </w:rPr>
    </w:sdtEndPr>
    <w:sdtContent>
      <w:p w:rsidR="00DE4C07" w:rsidRDefault="00DE4C07">
        <w:pPr>
          <w:pStyle w:val="Header"/>
          <w:jc w:val="right"/>
        </w:pPr>
        <w:r>
          <w:fldChar w:fldCharType="begin"/>
        </w:r>
        <w:r>
          <w:instrText xml:space="preserve"> PAGE   \* MERGEFORMAT </w:instrText>
        </w:r>
        <w:r>
          <w:fldChar w:fldCharType="separate"/>
        </w:r>
        <w:r w:rsidR="00BA01F5">
          <w:rPr>
            <w:noProof/>
          </w:rPr>
          <w:t>12</w:t>
        </w:r>
        <w:r>
          <w:rPr>
            <w:noProof/>
          </w:rPr>
          <w:fldChar w:fldCharType="end"/>
        </w:r>
      </w:p>
    </w:sdtContent>
  </w:sdt>
  <w:p w:rsidR="00DE4C07" w:rsidRDefault="00DE4C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30407"/>
    <w:multiLevelType w:val="hybridMultilevel"/>
    <w:tmpl w:val="7C462A92"/>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280F08A0"/>
    <w:multiLevelType w:val="hybridMultilevel"/>
    <w:tmpl w:val="175EE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955415"/>
    <w:multiLevelType w:val="hybridMultilevel"/>
    <w:tmpl w:val="D0D0632C"/>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62B7613C"/>
    <w:multiLevelType w:val="multilevel"/>
    <w:tmpl w:val="18F85B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36A20E7"/>
    <w:multiLevelType w:val="hybridMultilevel"/>
    <w:tmpl w:val="D1006950"/>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nsid w:val="63C37C18"/>
    <w:multiLevelType w:val="hybridMultilevel"/>
    <w:tmpl w:val="297E19E8"/>
    <w:lvl w:ilvl="0" w:tplc="6590AF7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6C7E7FAA"/>
    <w:multiLevelType w:val="hybridMultilevel"/>
    <w:tmpl w:val="F85A59A6"/>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nsid w:val="7EE863BD"/>
    <w:multiLevelType w:val="hybridMultilevel"/>
    <w:tmpl w:val="4D5A0F52"/>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7"/>
  </w:num>
  <w:num w:numId="2">
    <w:abstractNumId w:val="5"/>
  </w:num>
  <w:num w:numId="3">
    <w:abstractNumId w:val="6"/>
  </w:num>
  <w:num w:numId="4">
    <w:abstractNumId w:val="2"/>
  </w:num>
  <w:num w:numId="5">
    <w:abstractNumId w:val="4"/>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924"/>
    <w:rsid w:val="00003A88"/>
    <w:rsid w:val="000077A8"/>
    <w:rsid w:val="00016694"/>
    <w:rsid w:val="000176D3"/>
    <w:rsid w:val="000266D5"/>
    <w:rsid w:val="00037498"/>
    <w:rsid w:val="00043B97"/>
    <w:rsid w:val="000440E7"/>
    <w:rsid w:val="0004428B"/>
    <w:rsid w:val="00052206"/>
    <w:rsid w:val="000552B3"/>
    <w:rsid w:val="00071329"/>
    <w:rsid w:val="0007264C"/>
    <w:rsid w:val="00072654"/>
    <w:rsid w:val="000738D1"/>
    <w:rsid w:val="000A368D"/>
    <w:rsid w:val="000B3CE7"/>
    <w:rsid w:val="000D30EA"/>
    <w:rsid w:val="000D5DFD"/>
    <w:rsid w:val="000D7DDA"/>
    <w:rsid w:val="000F5B48"/>
    <w:rsid w:val="00101BCA"/>
    <w:rsid w:val="0011336B"/>
    <w:rsid w:val="00121A7F"/>
    <w:rsid w:val="0012304A"/>
    <w:rsid w:val="00132C73"/>
    <w:rsid w:val="00141400"/>
    <w:rsid w:val="001526D9"/>
    <w:rsid w:val="001548B5"/>
    <w:rsid w:val="00165903"/>
    <w:rsid w:val="00177FC4"/>
    <w:rsid w:val="001B4AFE"/>
    <w:rsid w:val="001C4EC8"/>
    <w:rsid w:val="001D1D23"/>
    <w:rsid w:val="001E2DF5"/>
    <w:rsid w:val="001E467D"/>
    <w:rsid w:val="001E7201"/>
    <w:rsid w:val="0020152A"/>
    <w:rsid w:val="00224B33"/>
    <w:rsid w:val="00242AFE"/>
    <w:rsid w:val="00253AA5"/>
    <w:rsid w:val="0025460E"/>
    <w:rsid w:val="00276B28"/>
    <w:rsid w:val="00285A9A"/>
    <w:rsid w:val="002B0984"/>
    <w:rsid w:val="002C09AF"/>
    <w:rsid w:val="002C3BF5"/>
    <w:rsid w:val="002C7064"/>
    <w:rsid w:val="002F084C"/>
    <w:rsid w:val="002F7677"/>
    <w:rsid w:val="00316C1B"/>
    <w:rsid w:val="00361167"/>
    <w:rsid w:val="00363578"/>
    <w:rsid w:val="003643AF"/>
    <w:rsid w:val="003657FA"/>
    <w:rsid w:val="00396B80"/>
    <w:rsid w:val="003A0722"/>
    <w:rsid w:val="003D66C6"/>
    <w:rsid w:val="003F1ED7"/>
    <w:rsid w:val="003F4B32"/>
    <w:rsid w:val="00410AF6"/>
    <w:rsid w:val="0043763B"/>
    <w:rsid w:val="004516D7"/>
    <w:rsid w:val="00452D99"/>
    <w:rsid w:val="00457628"/>
    <w:rsid w:val="00495A07"/>
    <w:rsid w:val="00496A60"/>
    <w:rsid w:val="004D69B3"/>
    <w:rsid w:val="004F6ADF"/>
    <w:rsid w:val="0050321E"/>
    <w:rsid w:val="00515BD5"/>
    <w:rsid w:val="005249AF"/>
    <w:rsid w:val="0052779A"/>
    <w:rsid w:val="005433EB"/>
    <w:rsid w:val="00546F82"/>
    <w:rsid w:val="00551B1B"/>
    <w:rsid w:val="00567596"/>
    <w:rsid w:val="00590A41"/>
    <w:rsid w:val="005A5B41"/>
    <w:rsid w:val="005B65A1"/>
    <w:rsid w:val="005C1702"/>
    <w:rsid w:val="005C5240"/>
    <w:rsid w:val="005E2749"/>
    <w:rsid w:val="005E630F"/>
    <w:rsid w:val="00623514"/>
    <w:rsid w:val="006244C2"/>
    <w:rsid w:val="006413DB"/>
    <w:rsid w:val="00654924"/>
    <w:rsid w:val="00662333"/>
    <w:rsid w:val="006708A7"/>
    <w:rsid w:val="00671037"/>
    <w:rsid w:val="006742D1"/>
    <w:rsid w:val="006826EE"/>
    <w:rsid w:val="006B6490"/>
    <w:rsid w:val="006B72A5"/>
    <w:rsid w:val="006E31D0"/>
    <w:rsid w:val="006F3819"/>
    <w:rsid w:val="00707FB1"/>
    <w:rsid w:val="00710148"/>
    <w:rsid w:val="00713CB7"/>
    <w:rsid w:val="007142D8"/>
    <w:rsid w:val="00723A6A"/>
    <w:rsid w:val="00737421"/>
    <w:rsid w:val="00745D2D"/>
    <w:rsid w:val="0075240D"/>
    <w:rsid w:val="007554B9"/>
    <w:rsid w:val="00763CF4"/>
    <w:rsid w:val="00764D21"/>
    <w:rsid w:val="00775E32"/>
    <w:rsid w:val="0079197D"/>
    <w:rsid w:val="007A0953"/>
    <w:rsid w:val="007B03FD"/>
    <w:rsid w:val="007B7C04"/>
    <w:rsid w:val="007C7F65"/>
    <w:rsid w:val="007E73D4"/>
    <w:rsid w:val="008004A7"/>
    <w:rsid w:val="00812CE1"/>
    <w:rsid w:val="008203C0"/>
    <w:rsid w:val="00821220"/>
    <w:rsid w:val="00822A13"/>
    <w:rsid w:val="00845ED0"/>
    <w:rsid w:val="00852992"/>
    <w:rsid w:val="00870EEE"/>
    <w:rsid w:val="00880262"/>
    <w:rsid w:val="00896D22"/>
    <w:rsid w:val="008A64A9"/>
    <w:rsid w:val="008B2ED3"/>
    <w:rsid w:val="008D035C"/>
    <w:rsid w:val="008D29BD"/>
    <w:rsid w:val="008D754C"/>
    <w:rsid w:val="008F2C0F"/>
    <w:rsid w:val="008F71A4"/>
    <w:rsid w:val="0091638C"/>
    <w:rsid w:val="00934450"/>
    <w:rsid w:val="00941EE0"/>
    <w:rsid w:val="00950BE1"/>
    <w:rsid w:val="00951709"/>
    <w:rsid w:val="00953E1A"/>
    <w:rsid w:val="00964960"/>
    <w:rsid w:val="00971D5A"/>
    <w:rsid w:val="009836BD"/>
    <w:rsid w:val="009A34DA"/>
    <w:rsid w:val="009B05ED"/>
    <w:rsid w:val="009C392B"/>
    <w:rsid w:val="00A01C64"/>
    <w:rsid w:val="00A1309C"/>
    <w:rsid w:val="00A32525"/>
    <w:rsid w:val="00A64602"/>
    <w:rsid w:val="00A91F7E"/>
    <w:rsid w:val="00A965BF"/>
    <w:rsid w:val="00AA0BA4"/>
    <w:rsid w:val="00AA4B4F"/>
    <w:rsid w:val="00AB09B3"/>
    <w:rsid w:val="00AD017C"/>
    <w:rsid w:val="00AD6DC3"/>
    <w:rsid w:val="00AE1B21"/>
    <w:rsid w:val="00AE5E36"/>
    <w:rsid w:val="00AF263F"/>
    <w:rsid w:val="00AF47B7"/>
    <w:rsid w:val="00B3218A"/>
    <w:rsid w:val="00B32656"/>
    <w:rsid w:val="00B40900"/>
    <w:rsid w:val="00B43354"/>
    <w:rsid w:val="00B46E71"/>
    <w:rsid w:val="00B4725A"/>
    <w:rsid w:val="00B52854"/>
    <w:rsid w:val="00B70C0E"/>
    <w:rsid w:val="00B900AF"/>
    <w:rsid w:val="00BA01F5"/>
    <w:rsid w:val="00BA0239"/>
    <w:rsid w:val="00BA1117"/>
    <w:rsid w:val="00BA607D"/>
    <w:rsid w:val="00BA7958"/>
    <w:rsid w:val="00BD142D"/>
    <w:rsid w:val="00BD2B27"/>
    <w:rsid w:val="00BE3421"/>
    <w:rsid w:val="00BF3EFD"/>
    <w:rsid w:val="00C04365"/>
    <w:rsid w:val="00C260DE"/>
    <w:rsid w:val="00C40DFD"/>
    <w:rsid w:val="00C6287B"/>
    <w:rsid w:val="00C81952"/>
    <w:rsid w:val="00CB2753"/>
    <w:rsid w:val="00CB6031"/>
    <w:rsid w:val="00CC1CD2"/>
    <w:rsid w:val="00CE0309"/>
    <w:rsid w:val="00D01417"/>
    <w:rsid w:val="00D0332C"/>
    <w:rsid w:val="00D035C8"/>
    <w:rsid w:val="00D07A03"/>
    <w:rsid w:val="00D21BFC"/>
    <w:rsid w:val="00D31C89"/>
    <w:rsid w:val="00D43F55"/>
    <w:rsid w:val="00D50551"/>
    <w:rsid w:val="00D611F2"/>
    <w:rsid w:val="00D67E04"/>
    <w:rsid w:val="00D81D9D"/>
    <w:rsid w:val="00D820C7"/>
    <w:rsid w:val="00DA2B49"/>
    <w:rsid w:val="00DC37FD"/>
    <w:rsid w:val="00DD0E15"/>
    <w:rsid w:val="00DD28D3"/>
    <w:rsid w:val="00DD70E5"/>
    <w:rsid w:val="00DE4C07"/>
    <w:rsid w:val="00DE5FED"/>
    <w:rsid w:val="00DE71FF"/>
    <w:rsid w:val="00E051D4"/>
    <w:rsid w:val="00E24732"/>
    <w:rsid w:val="00E412EF"/>
    <w:rsid w:val="00E47FFD"/>
    <w:rsid w:val="00E51B4C"/>
    <w:rsid w:val="00E93ADA"/>
    <w:rsid w:val="00EA0C80"/>
    <w:rsid w:val="00EB001E"/>
    <w:rsid w:val="00EB02CB"/>
    <w:rsid w:val="00EB210D"/>
    <w:rsid w:val="00EC0F57"/>
    <w:rsid w:val="00EC1CE2"/>
    <w:rsid w:val="00EC4230"/>
    <w:rsid w:val="00EC5267"/>
    <w:rsid w:val="00ED1BD9"/>
    <w:rsid w:val="00EE1C66"/>
    <w:rsid w:val="00EE65CF"/>
    <w:rsid w:val="00F009AB"/>
    <w:rsid w:val="00F2037F"/>
    <w:rsid w:val="00F40640"/>
    <w:rsid w:val="00F53B0F"/>
    <w:rsid w:val="00F554AE"/>
    <w:rsid w:val="00F60653"/>
    <w:rsid w:val="00F60FCA"/>
    <w:rsid w:val="00F6435A"/>
    <w:rsid w:val="00F65331"/>
    <w:rsid w:val="00F659E1"/>
    <w:rsid w:val="00F7751D"/>
    <w:rsid w:val="00F82801"/>
    <w:rsid w:val="00F95F56"/>
    <w:rsid w:val="00FA02D5"/>
    <w:rsid w:val="00FB167E"/>
    <w:rsid w:val="00FC7786"/>
    <w:rsid w:val="00FD4C0F"/>
    <w:rsid w:val="00FE6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B4FB53-217B-4D81-B67A-F94E6EEA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924"/>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924"/>
    <w:pPr>
      <w:ind w:left="720"/>
      <w:contextualSpacing/>
    </w:pPr>
  </w:style>
  <w:style w:type="character" w:styleId="Hyperlink">
    <w:name w:val="Hyperlink"/>
    <w:basedOn w:val="DefaultParagraphFont"/>
    <w:uiPriority w:val="99"/>
    <w:unhideWhenUsed/>
    <w:rsid w:val="00165903"/>
    <w:rPr>
      <w:color w:val="0563C1" w:themeColor="hyperlink"/>
      <w:u w:val="single"/>
    </w:rPr>
  </w:style>
  <w:style w:type="table" w:styleId="TableGrid">
    <w:name w:val="Table Grid"/>
    <w:basedOn w:val="TableNormal"/>
    <w:uiPriority w:val="39"/>
    <w:rsid w:val="00852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96B80"/>
    <w:pPr>
      <w:tabs>
        <w:tab w:val="center" w:pos="4680"/>
        <w:tab w:val="right" w:pos="9360"/>
      </w:tabs>
    </w:pPr>
  </w:style>
  <w:style w:type="character" w:customStyle="1" w:styleId="HeaderChar">
    <w:name w:val="Header Char"/>
    <w:basedOn w:val="DefaultParagraphFont"/>
    <w:link w:val="Header"/>
    <w:uiPriority w:val="99"/>
    <w:rsid w:val="00396B80"/>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396B80"/>
    <w:pPr>
      <w:tabs>
        <w:tab w:val="center" w:pos="4680"/>
        <w:tab w:val="right" w:pos="9360"/>
      </w:tabs>
    </w:pPr>
  </w:style>
  <w:style w:type="character" w:customStyle="1" w:styleId="FooterChar">
    <w:name w:val="Footer Char"/>
    <w:basedOn w:val="DefaultParagraphFont"/>
    <w:link w:val="Footer"/>
    <w:uiPriority w:val="99"/>
    <w:rsid w:val="00396B80"/>
    <w:rPr>
      <w:rFonts w:ascii="Times New Roman" w:eastAsia="Times New Roman" w:hAnsi="Times New Roman" w:cs="Times New Roman"/>
      <w:sz w:val="24"/>
      <w:szCs w:val="24"/>
      <w:lang w:val="en-GB" w:eastAsia="en-GB"/>
    </w:rPr>
  </w:style>
  <w:style w:type="paragraph" w:styleId="NormalWeb">
    <w:name w:val="Normal (Web)"/>
    <w:basedOn w:val="Normal"/>
    <w:uiPriority w:val="99"/>
    <w:unhideWhenUsed/>
    <w:rsid w:val="0012304A"/>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8774">
      <w:bodyDiv w:val="1"/>
      <w:marLeft w:val="0"/>
      <w:marRight w:val="0"/>
      <w:marTop w:val="0"/>
      <w:marBottom w:val="0"/>
      <w:divBdr>
        <w:top w:val="none" w:sz="0" w:space="0" w:color="auto"/>
        <w:left w:val="none" w:sz="0" w:space="0" w:color="auto"/>
        <w:bottom w:val="none" w:sz="0" w:space="0" w:color="auto"/>
        <w:right w:val="none" w:sz="0" w:space="0" w:color="auto"/>
      </w:divBdr>
    </w:div>
    <w:div w:id="62797599">
      <w:bodyDiv w:val="1"/>
      <w:marLeft w:val="0"/>
      <w:marRight w:val="0"/>
      <w:marTop w:val="0"/>
      <w:marBottom w:val="0"/>
      <w:divBdr>
        <w:top w:val="none" w:sz="0" w:space="0" w:color="auto"/>
        <w:left w:val="none" w:sz="0" w:space="0" w:color="auto"/>
        <w:bottom w:val="none" w:sz="0" w:space="0" w:color="auto"/>
        <w:right w:val="none" w:sz="0" w:space="0" w:color="auto"/>
      </w:divBdr>
    </w:div>
    <w:div w:id="76946097">
      <w:bodyDiv w:val="1"/>
      <w:marLeft w:val="0"/>
      <w:marRight w:val="0"/>
      <w:marTop w:val="0"/>
      <w:marBottom w:val="0"/>
      <w:divBdr>
        <w:top w:val="none" w:sz="0" w:space="0" w:color="auto"/>
        <w:left w:val="none" w:sz="0" w:space="0" w:color="auto"/>
        <w:bottom w:val="none" w:sz="0" w:space="0" w:color="auto"/>
        <w:right w:val="none" w:sz="0" w:space="0" w:color="auto"/>
      </w:divBdr>
    </w:div>
    <w:div w:id="83647832">
      <w:bodyDiv w:val="1"/>
      <w:marLeft w:val="0"/>
      <w:marRight w:val="0"/>
      <w:marTop w:val="0"/>
      <w:marBottom w:val="0"/>
      <w:divBdr>
        <w:top w:val="none" w:sz="0" w:space="0" w:color="auto"/>
        <w:left w:val="none" w:sz="0" w:space="0" w:color="auto"/>
        <w:bottom w:val="none" w:sz="0" w:space="0" w:color="auto"/>
        <w:right w:val="none" w:sz="0" w:space="0" w:color="auto"/>
      </w:divBdr>
    </w:div>
    <w:div w:id="89544919">
      <w:bodyDiv w:val="1"/>
      <w:marLeft w:val="0"/>
      <w:marRight w:val="0"/>
      <w:marTop w:val="0"/>
      <w:marBottom w:val="0"/>
      <w:divBdr>
        <w:top w:val="none" w:sz="0" w:space="0" w:color="auto"/>
        <w:left w:val="none" w:sz="0" w:space="0" w:color="auto"/>
        <w:bottom w:val="none" w:sz="0" w:space="0" w:color="auto"/>
        <w:right w:val="none" w:sz="0" w:space="0" w:color="auto"/>
      </w:divBdr>
    </w:div>
    <w:div w:id="100298604">
      <w:bodyDiv w:val="1"/>
      <w:marLeft w:val="0"/>
      <w:marRight w:val="0"/>
      <w:marTop w:val="0"/>
      <w:marBottom w:val="0"/>
      <w:divBdr>
        <w:top w:val="none" w:sz="0" w:space="0" w:color="auto"/>
        <w:left w:val="none" w:sz="0" w:space="0" w:color="auto"/>
        <w:bottom w:val="none" w:sz="0" w:space="0" w:color="auto"/>
        <w:right w:val="none" w:sz="0" w:space="0" w:color="auto"/>
      </w:divBdr>
    </w:div>
    <w:div w:id="160436082">
      <w:bodyDiv w:val="1"/>
      <w:marLeft w:val="0"/>
      <w:marRight w:val="0"/>
      <w:marTop w:val="0"/>
      <w:marBottom w:val="0"/>
      <w:divBdr>
        <w:top w:val="none" w:sz="0" w:space="0" w:color="auto"/>
        <w:left w:val="none" w:sz="0" w:space="0" w:color="auto"/>
        <w:bottom w:val="none" w:sz="0" w:space="0" w:color="auto"/>
        <w:right w:val="none" w:sz="0" w:space="0" w:color="auto"/>
      </w:divBdr>
    </w:div>
    <w:div w:id="213858026">
      <w:bodyDiv w:val="1"/>
      <w:marLeft w:val="0"/>
      <w:marRight w:val="0"/>
      <w:marTop w:val="0"/>
      <w:marBottom w:val="0"/>
      <w:divBdr>
        <w:top w:val="none" w:sz="0" w:space="0" w:color="auto"/>
        <w:left w:val="none" w:sz="0" w:space="0" w:color="auto"/>
        <w:bottom w:val="none" w:sz="0" w:space="0" w:color="auto"/>
        <w:right w:val="none" w:sz="0" w:space="0" w:color="auto"/>
      </w:divBdr>
    </w:div>
    <w:div w:id="215700735">
      <w:bodyDiv w:val="1"/>
      <w:marLeft w:val="0"/>
      <w:marRight w:val="0"/>
      <w:marTop w:val="0"/>
      <w:marBottom w:val="0"/>
      <w:divBdr>
        <w:top w:val="none" w:sz="0" w:space="0" w:color="auto"/>
        <w:left w:val="none" w:sz="0" w:space="0" w:color="auto"/>
        <w:bottom w:val="none" w:sz="0" w:space="0" w:color="auto"/>
        <w:right w:val="none" w:sz="0" w:space="0" w:color="auto"/>
      </w:divBdr>
    </w:div>
    <w:div w:id="216597078">
      <w:bodyDiv w:val="1"/>
      <w:marLeft w:val="0"/>
      <w:marRight w:val="0"/>
      <w:marTop w:val="0"/>
      <w:marBottom w:val="0"/>
      <w:divBdr>
        <w:top w:val="none" w:sz="0" w:space="0" w:color="auto"/>
        <w:left w:val="none" w:sz="0" w:space="0" w:color="auto"/>
        <w:bottom w:val="none" w:sz="0" w:space="0" w:color="auto"/>
        <w:right w:val="none" w:sz="0" w:space="0" w:color="auto"/>
      </w:divBdr>
    </w:div>
    <w:div w:id="289020990">
      <w:bodyDiv w:val="1"/>
      <w:marLeft w:val="0"/>
      <w:marRight w:val="0"/>
      <w:marTop w:val="0"/>
      <w:marBottom w:val="0"/>
      <w:divBdr>
        <w:top w:val="none" w:sz="0" w:space="0" w:color="auto"/>
        <w:left w:val="none" w:sz="0" w:space="0" w:color="auto"/>
        <w:bottom w:val="none" w:sz="0" w:space="0" w:color="auto"/>
        <w:right w:val="none" w:sz="0" w:space="0" w:color="auto"/>
      </w:divBdr>
    </w:div>
    <w:div w:id="300968525">
      <w:bodyDiv w:val="1"/>
      <w:marLeft w:val="0"/>
      <w:marRight w:val="0"/>
      <w:marTop w:val="0"/>
      <w:marBottom w:val="0"/>
      <w:divBdr>
        <w:top w:val="none" w:sz="0" w:space="0" w:color="auto"/>
        <w:left w:val="none" w:sz="0" w:space="0" w:color="auto"/>
        <w:bottom w:val="none" w:sz="0" w:space="0" w:color="auto"/>
        <w:right w:val="none" w:sz="0" w:space="0" w:color="auto"/>
      </w:divBdr>
    </w:div>
    <w:div w:id="303655964">
      <w:bodyDiv w:val="1"/>
      <w:marLeft w:val="0"/>
      <w:marRight w:val="0"/>
      <w:marTop w:val="0"/>
      <w:marBottom w:val="0"/>
      <w:divBdr>
        <w:top w:val="none" w:sz="0" w:space="0" w:color="auto"/>
        <w:left w:val="none" w:sz="0" w:space="0" w:color="auto"/>
        <w:bottom w:val="none" w:sz="0" w:space="0" w:color="auto"/>
        <w:right w:val="none" w:sz="0" w:space="0" w:color="auto"/>
      </w:divBdr>
    </w:div>
    <w:div w:id="385884779">
      <w:bodyDiv w:val="1"/>
      <w:marLeft w:val="0"/>
      <w:marRight w:val="0"/>
      <w:marTop w:val="0"/>
      <w:marBottom w:val="0"/>
      <w:divBdr>
        <w:top w:val="none" w:sz="0" w:space="0" w:color="auto"/>
        <w:left w:val="none" w:sz="0" w:space="0" w:color="auto"/>
        <w:bottom w:val="none" w:sz="0" w:space="0" w:color="auto"/>
        <w:right w:val="none" w:sz="0" w:space="0" w:color="auto"/>
      </w:divBdr>
    </w:div>
    <w:div w:id="417599947">
      <w:bodyDiv w:val="1"/>
      <w:marLeft w:val="0"/>
      <w:marRight w:val="0"/>
      <w:marTop w:val="0"/>
      <w:marBottom w:val="0"/>
      <w:divBdr>
        <w:top w:val="none" w:sz="0" w:space="0" w:color="auto"/>
        <w:left w:val="none" w:sz="0" w:space="0" w:color="auto"/>
        <w:bottom w:val="none" w:sz="0" w:space="0" w:color="auto"/>
        <w:right w:val="none" w:sz="0" w:space="0" w:color="auto"/>
      </w:divBdr>
    </w:div>
    <w:div w:id="419638202">
      <w:bodyDiv w:val="1"/>
      <w:marLeft w:val="0"/>
      <w:marRight w:val="0"/>
      <w:marTop w:val="0"/>
      <w:marBottom w:val="0"/>
      <w:divBdr>
        <w:top w:val="none" w:sz="0" w:space="0" w:color="auto"/>
        <w:left w:val="none" w:sz="0" w:space="0" w:color="auto"/>
        <w:bottom w:val="none" w:sz="0" w:space="0" w:color="auto"/>
        <w:right w:val="none" w:sz="0" w:space="0" w:color="auto"/>
      </w:divBdr>
    </w:div>
    <w:div w:id="509368885">
      <w:bodyDiv w:val="1"/>
      <w:marLeft w:val="0"/>
      <w:marRight w:val="0"/>
      <w:marTop w:val="0"/>
      <w:marBottom w:val="0"/>
      <w:divBdr>
        <w:top w:val="none" w:sz="0" w:space="0" w:color="auto"/>
        <w:left w:val="none" w:sz="0" w:space="0" w:color="auto"/>
        <w:bottom w:val="none" w:sz="0" w:space="0" w:color="auto"/>
        <w:right w:val="none" w:sz="0" w:space="0" w:color="auto"/>
      </w:divBdr>
    </w:div>
    <w:div w:id="519052229">
      <w:bodyDiv w:val="1"/>
      <w:marLeft w:val="0"/>
      <w:marRight w:val="0"/>
      <w:marTop w:val="0"/>
      <w:marBottom w:val="0"/>
      <w:divBdr>
        <w:top w:val="none" w:sz="0" w:space="0" w:color="auto"/>
        <w:left w:val="none" w:sz="0" w:space="0" w:color="auto"/>
        <w:bottom w:val="none" w:sz="0" w:space="0" w:color="auto"/>
        <w:right w:val="none" w:sz="0" w:space="0" w:color="auto"/>
      </w:divBdr>
    </w:div>
    <w:div w:id="715861108">
      <w:bodyDiv w:val="1"/>
      <w:marLeft w:val="0"/>
      <w:marRight w:val="0"/>
      <w:marTop w:val="0"/>
      <w:marBottom w:val="0"/>
      <w:divBdr>
        <w:top w:val="none" w:sz="0" w:space="0" w:color="auto"/>
        <w:left w:val="none" w:sz="0" w:space="0" w:color="auto"/>
        <w:bottom w:val="none" w:sz="0" w:space="0" w:color="auto"/>
        <w:right w:val="none" w:sz="0" w:space="0" w:color="auto"/>
      </w:divBdr>
    </w:div>
    <w:div w:id="752241444">
      <w:bodyDiv w:val="1"/>
      <w:marLeft w:val="0"/>
      <w:marRight w:val="0"/>
      <w:marTop w:val="0"/>
      <w:marBottom w:val="0"/>
      <w:divBdr>
        <w:top w:val="none" w:sz="0" w:space="0" w:color="auto"/>
        <w:left w:val="none" w:sz="0" w:space="0" w:color="auto"/>
        <w:bottom w:val="none" w:sz="0" w:space="0" w:color="auto"/>
        <w:right w:val="none" w:sz="0" w:space="0" w:color="auto"/>
      </w:divBdr>
    </w:div>
    <w:div w:id="800420046">
      <w:bodyDiv w:val="1"/>
      <w:marLeft w:val="0"/>
      <w:marRight w:val="0"/>
      <w:marTop w:val="0"/>
      <w:marBottom w:val="0"/>
      <w:divBdr>
        <w:top w:val="none" w:sz="0" w:space="0" w:color="auto"/>
        <w:left w:val="none" w:sz="0" w:space="0" w:color="auto"/>
        <w:bottom w:val="none" w:sz="0" w:space="0" w:color="auto"/>
        <w:right w:val="none" w:sz="0" w:space="0" w:color="auto"/>
      </w:divBdr>
    </w:div>
    <w:div w:id="914897655">
      <w:bodyDiv w:val="1"/>
      <w:marLeft w:val="0"/>
      <w:marRight w:val="0"/>
      <w:marTop w:val="0"/>
      <w:marBottom w:val="0"/>
      <w:divBdr>
        <w:top w:val="none" w:sz="0" w:space="0" w:color="auto"/>
        <w:left w:val="none" w:sz="0" w:space="0" w:color="auto"/>
        <w:bottom w:val="none" w:sz="0" w:space="0" w:color="auto"/>
        <w:right w:val="none" w:sz="0" w:space="0" w:color="auto"/>
      </w:divBdr>
    </w:div>
    <w:div w:id="1073889760">
      <w:bodyDiv w:val="1"/>
      <w:marLeft w:val="0"/>
      <w:marRight w:val="0"/>
      <w:marTop w:val="0"/>
      <w:marBottom w:val="0"/>
      <w:divBdr>
        <w:top w:val="none" w:sz="0" w:space="0" w:color="auto"/>
        <w:left w:val="none" w:sz="0" w:space="0" w:color="auto"/>
        <w:bottom w:val="none" w:sz="0" w:space="0" w:color="auto"/>
        <w:right w:val="none" w:sz="0" w:space="0" w:color="auto"/>
      </w:divBdr>
    </w:div>
    <w:div w:id="1141271438">
      <w:bodyDiv w:val="1"/>
      <w:marLeft w:val="0"/>
      <w:marRight w:val="0"/>
      <w:marTop w:val="0"/>
      <w:marBottom w:val="0"/>
      <w:divBdr>
        <w:top w:val="none" w:sz="0" w:space="0" w:color="auto"/>
        <w:left w:val="none" w:sz="0" w:space="0" w:color="auto"/>
        <w:bottom w:val="none" w:sz="0" w:space="0" w:color="auto"/>
        <w:right w:val="none" w:sz="0" w:space="0" w:color="auto"/>
      </w:divBdr>
    </w:div>
    <w:div w:id="1187407546">
      <w:bodyDiv w:val="1"/>
      <w:marLeft w:val="0"/>
      <w:marRight w:val="0"/>
      <w:marTop w:val="0"/>
      <w:marBottom w:val="0"/>
      <w:divBdr>
        <w:top w:val="none" w:sz="0" w:space="0" w:color="auto"/>
        <w:left w:val="none" w:sz="0" w:space="0" w:color="auto"/>
        <w:bottom w:val="none" w:sz="0" w:space="0" w:color="auto"/>
        <w:right w:val="none" w:sz="0" w:space="0" w:color="auto"/>
      </w:divBdr>
    </w:div>
    <w:div w:id="1202550408">
      <w:bodyDiv w:val="1"/>
      <w:marLeft w:val="0"/>
      <w:marRight w:val="0"/>
      <w:marTop w:val="0"/>
      <w:marBottom w:val="0"/>
      <w:divBdr>
        <w:top w:val="none" w:sz="0" w:space="0" w:color="auto"/>
        <w:left w:val="none" w:sz="0" w:space="0" w:color="auto"/>
        <w:bottom w:val="none" w:sz="0" w:space="0" w:color="auto"/>
        <w:right w:val="none" w:sz="0" w:space="0" w:color="auto"/>
      </w:divBdr>
    </w:div>
    <w:div w:id="1202666737">
      <w:bodyDiv w:val="1"/>
      <w:marLeft w:val="0"/>
      <w:marRight w:val="0"/>
      <w:marTop w:val="0"/>
      <w:marBottom w:val="0"/>
      <w:divBdr>
        <w:top w:val="none" w:sz="0" w:space="0" w:color="auto"/>
        <w:left w:val="none" w:sz="0" w:space="0" w:color="auto"/>
        <w:bottom w:val="none" w:sz="0" w:space="0" w:color="auto"/>
        <w:right w:val="none" w:sz="0" w:space="0" w:color="auto"/>
      </w:divBdr>
    </w:div>
    <w:div w:id="1245602164">
      <w:bodyDiv w:val="1"/>
      <w:marLeft w:val="0"/>
      <w:marRight w:val="0"/>
      <w:marTop w:val="0"/>
      <w:marBottom w:val="0"/>
      <w:divBdr>
        <w:top w:val="none" w:sz="0" w:space="0" w:color="auto"/>
        <w:left w:val="none" w:sz="0" w:space="0" w:color="auto"/>
        <w:bottom w:val="none" w:sz="0" w:space="0" w:color="auto"/>
        <w:right w:val="none" w:sz="0" w:space="0" w:color="auto"/>
      </w:divBdr>
    </w:div>
    <w:div w:id="1246451786">
      <w:bodyDiv w:val="1"/>
      <w:marLeft w:val="0"/>
      <w:marRight w:val="0"/>
      <w:marTop w:val="0"/>
      <w:marBottom w:val="0"/>
      <w:divBdr>
        <w:top w:val="none" w:sz="0" w:space="0" w:color="auto"/>
        <w:left w:val="none" w:sz="0" w:space="0" w:color="auto"/>
        <w:bottom w:val="none" w:sz="0" w:space="0" w:color="auto"/>
        <w:right w:val="none" w:sz="0" w:space="0" w:color="auto"/>
      </w:divBdr>
    </w:div>
    <w:div w:id="1263148256">
      <w:bodyDiv w:val="1"/>
      <w:marLeft w:val="0"/>
      <w:marRight w:val="0"/>
      <w:marTop w:val="0"/>
      <w:marBottom w:val="0"/>
      <w:divBdr>
        <w:top w:val="none" w:sz="0" w:space="0" w:color="auto"/>
        <w:left w:val="none" w:sz="0" w:space="0" w:color="auto"/>
        <w:bottom w:val="none" w:sz="0" w:space="0" w:color="auto"/>
        <w:right w:val="none" w:sz="0" w:space="0" w:color="auto"/>
      </w:divBdr>
    </w:div>
    <w:div w:id="1297642133">
      <w:bodyDiv w:val="1"/>
      <w:marLeft w:val="0"/>
      <w:marRight w:val="0"/>
      <w:marTop w:val="0"/>
      <w:marBottom w:val="0"/>
      <w:divBdr>
        <w:top w:val="none" w:sz="0" w:space="0" w:color="auto"/>
        <w:left w:val="none" w:sz="0" w:space="0" w:color="auto"/>
        <w:bottom w:val="none" w:sz="0" w:space="0" w:color="auto"/>
        <w:right w:val="none" w:sz="0" w:space="0" w:color="auto"/>
      </w:divBdr>
    </w:div>
    <w:div w:id="1406613559">
      <w:bodyDiv w:val="1"/>
      <w:marLeft w:val="0"/>
      <w:marRight w:val="0"/>
      <w:marTop w:val="0"/>
      <w:marBottom w:val="0"/>
      <w:divBdr>
        <w:top w:val="none" w:sz="0" w:space="0" w:color="auto"/>
        <w:left w:val="none" w:sz="0" w:space="0" w:color="auto"/>
        <w:bottom w:val="none" w:sz="0" w:space="0" w:color="auto"/>
        <w:right w:val="none" w:sz="0" w:space="0" w:color="auto"/>
      </w:divBdr>
    </w:div>
    <w:div w:id="1536457215">
      <w:bodyDiv w:val="1"/>
      <w:marLeft w:val="0"/>
      <w:marRight w:val="0"/>
      <w:marTop w:val="0"/>
      <w:marBottom w:val="0"/>
      <w:divBdr>
        <w:top w:val="none" w:sz="0" w:space="0" w:color="auto"/>
        <w:left w:val="none" w:sz="0" w:space="0" w:color="auto"/>
        <w:bottom w:val="none" w:sz="0" w:space="0" w:color="auto"/>
        <w:right w:val="none" w:sz="0" w:space="0" w:color="auto"/>
      </w:divBdr>
    </w:div>
    <w:div w:id="1543129810">
      <w:bodyDiv w:val="1"/>
      <w:marLeft w:val="0"/>
      <w:marRight w:val="0"/>
      <w:marTop w:val="0"/>
      <w:marBottom w:val="0"/>
      <w:divBdr>
        <w:top w:val="none" w:sz="0" w:space="0" w:color="auto"/>
        <w:left w:val="none" w:sz="0" w:space="0" w:color="auto"/>
        <w:bottom w:val="none" w:sz="0" w:space="0" w:color="auto"/>
        <w:right w:val="none" w:sz="0" w:space="0" w:color="auto"/>
      </w:divBdr>
    </w:div>
    <w:div w:id="1546406639">
      <w:bodyDiv w:val="1"/>
      <w:marLeft w:val="0"/>
      <w:marRight w:val="0"/>
      <w:marTop w:val="0"/>
      <w:marBottom w:val="0"/>
      <w:divBdr>
        <w:top w:val="none" w:sz="0" w:space="0" w:color="auto"/>
        <w:left w:val="none" w:sz="0" w:space="0" w:color="auto"/>
        <w:bottom w:val="none" w:sz="0" w:space="0" w:color="auto"/>
        <w:right w:val="none" w:sz="0" w:space="0" w:color="auto"/>
      </w:divBdr>
    </w:div>
    <w:div w:id="1609966483">
      <w:bodyDiv w:val="1"/>
      <w:marLeft w:val="0"/>
      <w:marRight w:val="0"/>
      <w:marTop w:val="0"/>
      <w:marBottom w:val="0"/>
      <w:divBdr>
        <w:top w:val="none" w:sz="0" w:space="0" w:color="auto"/>
        <w:left w:val="none" w:sz="0" w:space="0" w:color="auto"/>
        <w:bottom w:val="none" w:sz="0" w:space="0" w:color="auto"/>
        <w:right w:val="none" w:sz="0" w:space="0" w:color="auto"/>
      </w:divBdr>
    </w:div>
    <w:div w:id="1627735296">
      <w:bodyDiv w:val="1"/>
      <w:marLeft w:val="0"/>
      <w:marRight w:val="0"/>
      <w:marTop w:val="0"/>
      <w:marBottom w:val="0"/>
      <w:divBdr>
        <w:top w:val="none" w:sz="0" w:space="0" w:color="auto"/>
        <w:left w:val="none" w:sz="0" w:space="0" w:color="auto"/>
        <w:bottom w:val="none" w:sz="0" w:space="0" w:color="auto"/>
        <w:right w:val="none" w:sz="0" w:space="0" w:color="auto"/>
      </w:divBdr>
    </w:div>
    <w:div w:id="1658726751">
      <w:bodyDiv w:val="1"/>
      <w:marLeft w:val="0"/>
      <w:marRight w:val="0"/>
      <w:marTop w:val="0"/>
      <w:marBottom w:val="0"/>
      <w:divBdr>
        <w:top w:val="none" w:sz="0" w:space="0" w:color="auto"/>
        <w:left w:val="none" w:sz="0" w:space="0" w:color="auto"/>
        <w:bottom w:val="none" w:sz="0" w:space="0" w:color="auto"/>
        <w:right w:val="none" w:sz="0" w:space="0" w:color="auto"/>
      </w:divBdr>
    </w:div>
    <w:div w:id="1692682749">
      <w:bodyDiv w:val="1"/>
      <w:marLeft w:val="0"/>
      <w:marRight w:val="0"/>
      <w:marTop w:val="0"/>
      <w:marBottom w:val="0"/>
      <w:divBdr>
        <w:top w:val="none" w:sz="0" w:space="0" w:color="auto"/>
        <w:left w:val="none" w:sz="0" w:space="0" w:color="auto"/>
        <w:bottom w:val="none" w:sz="0" w:space="0" w:color="auto"/>
        <w:right w:val="none" w:sz="0" w:space="0" w:color="auto"/>
      </w:divBdr>
    </w:div>
    <w:div w:id="1819760385">
      <w:bodyDiv w:val="1"/>
      <w:marLeft w:val="0"/>
      <w:marRight w:val="0"/>
      <w:marTop w:val="0"/>
      <w:marBottom w:val="0"/>
      <w:divBdr>
        <w:top w:val="none" w:sz="0" w:space="0" w:color="auto"/>
        <w:left w:val="none" w:sz="0" w:space="0" w:color="auto"/>
        <w:bottom w:val="none" w:sz="0" w:space="0" w:color="auto"/>
        <w:right w:val="none" w:sz="0" w:space="0" w:color="auto"/>
      </w:divBdr>
    </w:div>
    <w:div w:id="1852603227">
      <w:bodyDiv w:val="1"/>
      <w:marLeft w:val="0"/>
      <w:marRight w:val="0"/>
      <w:marTop w:val="0"/>
      <w:marBottom w:val="0"/>
      <w:divBdr>
        <w:top w:val="none" w:sz="0" w:space="0" w:color="auto"/>
        <w:left w:val="none" w:sz="0" w:space="0" w:color="auto"/>
        <w:bottom w:val="none" w:sz="0" w:space="0" w:color="auto"/>
        <w:right w:val="none" w:sz="0" w:space="0" w:color="auto"/>
      </w:divBdr>
    </w:div>
    <w:div w:id="2026517477">
      <w:bodyDiv w:val="1"/>
      <w:marLeft w:val="0"/>
      <w:marRight w:val="0"/>
      <w:marTop w:val="0"/>
      <w:marBottom w:val="0"/>
      <w:divBdr>
        <w:top w:val="none" w:sz="0" w:space="0" w:color="auto"/>
        <w:left w:val="none" w:sz="0" w:space="0" w:color="auto"/>
        <w:bottom w:val="none" w:sz="0" w:space="0" w:color="auto"/>
        <w:right w:val="none" w:sz="0" w:space="0" w:color="auto"/>
      </w:divBdr>
    </w:div>
    <w:div w:id="2028942506">
      <w:bodyDiv w:val="1"/>
      <w:marLeft w:val="0"/>
      <w:marRight w:val="0"/>
      <w:marTop w:val="0"/>
      <w:marBottom w:val="0"/>
      <w:divBdr>
        <w:top w:val="none" w:sz="0" w:space="0" w:color="auto"/>
        <w:left w:val="none" w:sz="0" w:space="0" w:color="auto"/>
        <w:bottom w:val="none" w:sz="0" w:space="0" w:color="auto"/>
        <w:right w:val="none" w:sz="0" w:space="0" w:color="auto"/>
      </w:divBdr>
    </w:div>
    <w:div w:id="2032755824">
      <w:bodyDiv w:val="1"/>
      <w:marLeft w:val="0"/>
      <w:marRight w:val="0"/>
      <w:marTop w:val="0"/>
      <w:marBottom w:val="0"/>
      <w:divBdr>
        <w:top w:val="none" w:sz="0" w:space="0" w:color="auto"/>
        <w:left w:val="none" w:sz="0" w:space="0" w:color="auto"/>
        <w:bottom w:val="none" w:sz="0" w:space="0" w:color="auto"/>
        <w:right w:val="none" w:sz="0" w:space="0" w:color="auto"/>
      </w:divBdr>
    </w:div>
    <w:div w:id="2091656738">
      <w:bodyDiv w:val="1"/>
      <w:marLeft w:val="0"/>
      <w:marRight w:val="0"/>
      <w:marTop w:val="0"/>
      <w:marBottom w:val="0"/>
      <w:divBdr>
        <w:top w:val="none" w:sz="0" w:space="0" w:color="auto"/>
        <w:left w:val="none" w:sz="0" w:space="0" w:color="auto"/>
        <w:bottom w:val="none" w:sz="0" w:space="0" w:color="auto"/>
        <w:right w:val="none" w:sz="0" w:space="0" w:color="auto"/>
      </w:divBdr>
    </w:div>
    <w:div w:id="2114127798">
      <w:bodyDiv w:val="1"/>
      <w:marLeft w:val="0"/>
      <w:marRight w:val="0"/>
      <w:marTop w:val="0"/>
      <w:marBottom w:val="0"/>
      <w:divBdr>
        <w:top w:val="none" w:sz="0" w:space="0" w:color="auto"/>
        <w:left w:val="none" w:sz="0" w:space="0" w:color="auto"/>
        <w:bottom w:val="none" w:sz="0" w:space="0" w:color="auto"/>
        <w:right w:val="none" w:sz="0" w:space="0" w:color="auto"/>
      </w:divBdr>
    </w:div>
    <w:div w:id="2122144352">
      <w:bodyDiv w:val="1"/>
      <w:marLeft w:val="0"/>
      <w:marRight w:val="0"/>
      <w:marTop w:val="0"/>
      <w:marBottom w:val="0"/>
      <w:divBdr>
        <w:top w:val="none" w:sz="0" w:space="0" w:color="auto"/>
        <w:left w:val="none" w:sz="0" w:space="0" w:color="auto"/>
        <w:bottom w:val="none" w:sz="0" w:space="0" w:color="auto"/>
        <w:right w:val="none" w:sz="0" w:space="0" w:color="auto"/>
      </w:divBdr>
    </w:div>
    <w:div w:id="214022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mantabir.wordpress.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ntarasumbar.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tarasumbar.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dn.biz.id/n/111104" TargetMode="External"/><Relationship Id="rId4" Type="http://schemas.openxmlformats.org/officeDocument/2006/relationships/settings" Target="settings.xml"/><Relationship Id="rId9" Type="http://schemas.openxmlformats.org/officeDocument/2006/relationships/hyperlink" Target="http://www.antarasumbar.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07F04-26E0-4CF7-974F-EC55D736E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2411</TotalTime>
  <Pages>12</Pages>
  <Words>2450</Words>
  <Characters>13966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novita</dc:creator>
  <cp:keywords/>
  <dc:description/>
  <cp:lastModifiedBy>novita</cp:lastModifiedBy>
  <cp:revision>115</cp:revision>
  <dcterms:created xsi:type="dcterms:W3CDTF">2014-09-28T07:12:00Z</dcterms:created>
  <dcterms:modified xsi:type="dcterms:W3CDTF">2015-01-21T23:41:00Z</dcterms:modified>
</cp:coreProperties>
</file>